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00E363F2">
        <w:trPr>
          <w:trHeight w:val="395"/>
          <w:jc w:val="center"/>
        </w:trPr>
        <w:tc>
          <w:tcPr>
            <w:tcW w:w="355" w:type="dxa"/>
            <w:vAlign w:val="center"/>
          </w:tcPr>
          <w:p w14:paraId="4185D932" w14:textId="39CEB774"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75DA82F1"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5ADE6131"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270" w:type="dxa"/>
            <w:vAlign w:val="center"/>
          </w:tcPr>
          <w:p w14:paraId="51C672A6" w14:textId="52CAB706" w:rsidR="00454507" w:rsidRPr="00F90E4E" w:rsidRDefault="00454507" w:rsidP="00454507">
            <w:pPr>
              <w:rPr>
                <w:rFonts w:ascii="Verdana" w:hAnsi="Verdana" w:cs="Arial"/>
                <w:b/>
                <w:bCs/>
                <w:sz w:val="16"/>
                <w:szCs w:val="16"/>
              </w:rPr>
            </w:pPr>
          </w:p>
        </w:tc>
        <w:tc>
          <w:tcPr>
            <w:tcW w:w="162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7C3EEAF5"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B83B9C">
        <w:trPr>
          <w:trHeight w:val="467"/>
          <w:jc w:val="center"/>
        </w:trPr>
        <w:tc>
          <w:tcPr>
            <w:tcW w:w="355" w:type="dxa"/>
            <w:vAlign w:val="center"/>
          </w:tcPr>
          <w:p w14:paraId="714D4A36" w14:textId="4A609FD4"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77E06047"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20438891"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2F3A984E" w:rsidR="00454507" w:rsidRPr="00F90E4E" w:rsidRDefault="00454507" w:rsidP="004A56B2">
            <w:pPr>
              <w:jc w:val="center"/>
              <w:rPr>
                <w:rFonts w:ascii="Verdana" w:hAnsi="Verdana" w:cs="Arial"/>
                <w:b/>
                <w:bCs/>
                <w:sz w:val="16"/>
                <w:szCs w:val="16"/>
              </w:rPr>
            </w:pPr>
          </w:p>
        </w:tc>
        <w:tc>
          <w:tcPr>
            <w:tcW w:w="162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3EFC9DCF" w:rsidR="00454507"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B83B9C">
        <w:trPr>
          <w:trHeight w:val="440"/>
          <w:jc w:val="center"/>
        </w:trPr>
        <w:tc>
          <w:tcPr>
            <w:tcW w:w="355" w:type="dxa"/>
            <w:vAlign w:val="center"/>
          </w:tcPr>
          <w:p w14:paraId="40A0D500" w14:textId="77777777" w:rsidR="00B83B9C" w:rsidRPr="00F90E4E" w:rsidRDefault="00B83B9C" w:rsidP="004A56B2">
            <w:pPr>
              <w:jc w:val="center"/>
              <w:rPr>
                <w:rFonts w:ascii="Verdana" w:hAnsi="Verdana" w:cs="Arial"/>
                <w:b/>
                <w:bCs/>
                <w:sz w:val="16"/>
                <w:szCs w:val="16"/>
              </w:rPr>
            </w:pP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366594C1" w:rsidR="00B83B9C" w:rsidRPr="00F90E4E" w:rsidRDefault="00B83B9C" w:rsidP="004A56B2">
            <w:pPr>
              <w:jc w:val="center"/>
              <w:rPr>
                <w:rFonts w:ascii="Verdana" w:hAnsi="Verdana" w:cs="Arial"/>
                <w:b/>
                <w:bCs/>
                <w:sz w:val="16"/>
                <w:szCs w:val="16"/>
              </w:rPr>
            </w:pPr>
          </w:p>
        </w:tc>
        <w:tc>
          <w:tcPr>
            <w:tcW w:w="2160" w:type="dxa"/>
            <w:vAlign w:val="center"/>
          </w:tcPr>
          <w:p w14:paraId="585AF606" w14:textId="7BAF6D74" w:rsidR="00B83B9C" w:rsidRPr="00F90E4E" w:rsidRDefault="00B67158" w:rsidP="004A56B2">
            <w:pPr>
              <w:rPr>
                <w:rFonts w:ascii="Verdana" w:hAnsi="Verdana" w:cs="Arial"/>
                <w:sz w:val="18"/>
                <w:szCs w:val="18"/>
              </w:rPr>
            </w:pPr>
            <w:r w:rsidRPr="00F90E4E">
              <w:rPr>
                <w:rFonts w:ascii="Verdana" w:hAnsi="Verdana" w:cs="Arial"/>
                <w:sz w:val="18"/>
                <w:szCs w:val="18"/>
              </w:rPr>
              <w:t>Jeanne-Marie Velickovic</w:t>
            </w:r>
          </w:p>
        </w:tc>
        <w:tc>
          <w:tcPr>
            <w:tcW w:w="360" w:type="dxa"/>
            <w:vAlign w:val="center"/>
          </w:tcPr>
          <w:p w14:paraId="349D3B04" w14:textId="59DAEE81" w:rsidR="00B83B9C" w:rsidRPr="00F90E4E" w:rsidRDefault="00780112"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270" w:type="dxa"/>
            <w:vAlign w:val="center"/>
          </w:tcPr>
          <w:p w14:paraId="5787E37C" w14:textId="1BE328DB" w:rsidR="00B83B9C" w:rsidRPr="00F90E4E" w:rsidRDefault="00B83B9C" w:rsidP="004A56B2">
            <w:pPr>
              <w:jc w:val="both"/>
              <w:rPr>
                <w:rFonts w:ascii="Verdana" w:hAnsi="Verdana" w:cs="Arial"/>
                <w:b/>
                <w:bCs/>
                <w:sz w:val="16"/>
                <w:szCs w:val="16"/>
              </w:rPr>
            </w:pPr>
          </w:p>
        </w:tc>
        <w:tc>
          <w:tcPr>
            <w:tcW w:w="162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1B8E6A04" w14:textId="75971913"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4D19369E" w:rsidR="00DA4C74" w:rsidRPr="00823B5D" w:rsidRDefault="00780112"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D77C7C">
                              <w:rPr>
                                <w:b/>
                                <w:color w:val="auto"/>
                                <w:sz w:val="28"/>
                                <w:szCs w:val="28"/>
                              </w:rPr>
                              <w:t>December 10</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4D19369E" w:rsidR="00DA4C74" w:rsidRPr="00823B5D" w:rsidRDefault="00780112"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D77C7C">
                        <w:rPr>
                          <w:b/>
                          <w:color w:val="auto"/>
                          <w:sz w:val="28"/>
                          <w:szCs w:val="28"/>
                        </w:rPr>
                        <w:t>December 10</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v:textbox>
                <w10:wrap type="square" anchorx="margin"/>
              </v:shape>
            </w:pict>
          </mc:Fallback>
        </mc:AlternateContent>
      </w:r>
      <w:proofErr w:type="spellStart"/>
      <w:r w:rsidR="00B67158">
        <w:rPr>
          <w:rFonts w:ascii="Arial Narrow" w:hAnsi="Arial Narrow" w:cs="Arial"/>
          <w:sz w:val="20"/>
          <w:szCs w:val="20"/>
        </w:rPr>
        <w:t>Guests</w:t>
      </w:r>
      <w:proofErr w:type="gramStart"/>
      <w:r w:rsidR="00B67158">
        <w:rPr>
          <w:rFonts w:ascii="Arial Narrow" w:hAnsi="Arial Narrow" w:cs="Arial"/>
          <w:sz w:val="20"/>
          <w:szCs w:val="20"/>
        </w:rPr>
        <w:t>:</w:t>
      </w:r>
      <w:r w:rsidR="00780112">
        <w:rPr>
          <w:rFonts w:ascii="Arial Narrow" w:hAnsi="Arial Narrow" w:cs="Arial"/>
          <w:sz w:val="20"/>
          <w:szCs w:val="20"/>
        </w:rPr>
        <w:t>Eva</w:t>
      </w:r>
      <w:proofErr w:type="spellEnd"/>
      <w:proofErr w:type="gramEnd"/>
      <w:r w:rsidR="00780112">
        <w:rPr>
          <w:rFonts w:ascii="Arial Narrow" w:hAnsi="Arial Narrow" w:cs="Arial"/>
          <w:sz w:val="20"/>
          <w:szCs w:val="20"/>
        </w:rPr>
        <w:t xml:space="preserve"> Figueroa</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59E15C77" w:rsidR="0080388A" w:rsidRDefault="00CF69E9" w:rsidP="00780112">
            <w:pPr>
              <w:rPr>
                <w:rFonts w:asciiTheme="minorHAnsi" w:hAnsiTheme="minorHAnsi"/>
              </w:rPr>
            </w:pPr>
            <w:r>
              <w:rPr>
                <w:rFonts w:asciiTheme="minorHAnsi" w:hAnsiTheme="minorHAnsi"/>
              </w:rPr>
              <w:t xml:space="preserve">Approval of DLC minutes:  </w:t>
            </w:r>
            <w:r w:rsidR="000C4A7B">
              <w:rPr>
                <w:rFonts w:asciiTheme="minorHAnsi" w:hAnsiTheme="minorHAnsi"/>
              </w:rPr>
              <w:t>11/</w:t>
            </w:r>
            <w:r w:rsidR="00780112">
              <w:rPr>
                <w:rFonts w:asciiTheme="minorHAnsi" w:hAnsiTheme="minorHAnsi"/>
              </w:rPr>
              <w:t>26</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5B29E406" w:rsidR="0080388A" w:rsidRPr="00672500" w:rsidRDefault="00780112">
            <w:pPr>
              <w:rPr>
                <w:rFonts w:asciiTheme="minorHAnsi" w:hAnsiTheme="minorHAnsi"/>
                <w:sz w:val="22"/>
                <w:szCs w:val="22"/>
              </w:rPr>
            </w:pPr>
            <w:r>
              <w:rPr>
                <w:rFonts w:asciiTheme="minorHAnsi" w:hAnsiTheme="minorHAnsi"/>
                <w:sz w:val="22"/>
                <w:szCs w:val="22"/>
              </w:rPr>
              <w:t>Approved</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1B6F4FC0" w:rsidR="00C24125" w:rsidRPr="008374A9" w:rsidRDefault="00EA244C" w:rsidP="00D948F4">
            <w:pPr>
              <w:rPr>
                <w:rFonts w:asciiTheme="minorHAnsi" w:hAnsiTheme="minorHAnsi"/>
                <w:sz w:val="22"/>
                <w:szCs w:val="22"/>
              </w:rPr>
            </w:pPr>
            <w:r>
              <w:rPr>
                <w:rFonts w:asciiTheme="minorHAnsi" w:hAnsiTheme="minorHAnsi"/>
                <w:sz w:val="22"/>
                <w:szCs w:val="22"/>
              </w:rPr>
              <w:t>Minutes from 10/29</w:t>
            </w:r>
            <w:r w:rsidR="00D16AA1">
              <w:rPr>
                <w:rFonts w:asciiTheme="minorHAnsi" w:hAnsiTheme="minorHAnsi"/>
                <w:sz w:val="22"/>
                <w:szCs w:val="22"/>
              </w:rPr>
              <w:t xml:space="preserve"> accepted </w:t>
            </w: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30B4398E" w14:textId="77777777" w:rsidR="003F185B" w:rsidRPr="003F185B" w:rsidRDefault="003F185B" w:rsidP="003F185B">
            <w:pPr>
              <w:rPr>
                <w:rFonts w:asciiTheme="minorHAnsi" w:hAnsiTheme="minorHAnsi"/>
                <w:color w:val="000000"/>
                <w:sz w:val="20"/>
                <w:szCs w:val="20"/>
              </w:rPr>
            </w:pPr>
            <w:r w:rsidRPr="003F185B">
              <w:rPr>
                <w:rFonts w:asciiTheme="minorHAnsi" w:hAnsiTheme="minorHAnsi"/>
                <w:color w:val="000000"/>
                <w:sz w:val="20"/>
                <w:szCs w:val="20"/>
              </w:rPr>
              <w:t>Minutes from November meeting were reviewed, edited and approved</w:t>
            </w:r>
          </w:p>
          <w:p w14:paraId="0D10BD67" w14:textId="044838D3" w:rsidR="003F185B" w:rsidRPr="003F185B" w:rsidRDefault="00780112" w:rsidP="003F185B">
            <w:pPr>
              <w:rPr>
                <w:rFonts w:asciiTheme="minorHAnsi" w:hAnsiTheme="minorHAnsi"/>
                <w:color w:val="000000"/>
                <w:sz w:val="20"/>
                <w:szCs w:val="20"/>
              </w:rPr>
            </w:pPr>
            <w:r>
              <w:rPr>
                <w:rFonts w:asciiTheme="minorHAnsi" w:hAnsiTheme="minorHAnsi"/>
                <w:color w:val="000000"/>
                <w:sz w:val="20"/>
                <w:szCs w:val="20"/>
              </w:rPr>
              <w:t xml:space="preserve">· Chris </w:t>
            </w:r>
            <w:r w:rsidR="003F185B" w:rsidRPr="003F185B">
              <w:rPr>
                <w:rFonts w:asciiTheme="minorHAnsi" w:hAnsiTheme="minorHAnsi"/>
                <w:color w:val="000000"/>
                <w:sz w:val="20"/>
                <w:szCs w:val="20"/>
              </w:rPr>
              <w:t>Schroeder gave ITAC members an update on the IT BP &amp; AP. He reported that they passed through Cabinet with a minor change. They are now at PAC</w:t>
            </w:r>
          </w:p>
          <w:p w14:paraId="563ED077" w14:textId="77777777" w:rsidR="003F185B" w:rsidRPr="003F185B" w:rsidRDefault="003F185B" w:rsidP="003F185B">
            <w:pPr>
              <w:rPr>
                <w:rFonts w:asciiTheme="minorHAnsi" w:hAnsiTheme="minorHAnsi"/>
                <w:color w:val="000000"/>
                <w:sz w:val="20"/>
                <w:szCs w:val="20"/>
              </w:rPr>
            </w:pPr>
            <w:r w:rsidRPr="003F185B">
              <w:rPr>
                <w:rFonts w:asciiTheme="minorHAnsi" w:hAnsiTheme="minorHAnsi"/>
                <w:color w:val="000000"/>
                <w:sz w:val="20"/>
                <w:szCs w:val="20"/>
              </w:rPr>
              <w:t>· Ron Bean gave the ITAC members a presentation of the Technology Replacement Cycle Status. IT is joining with Continuing Education in their system to track and replace devices on campus</w:t>
            </w:r>
          </w:p>
          <w:p w14:paraId="6FFD25FD" w14:textId="2E73F659" w:rsidR="008C097E" w:rsidRPr="003F185B" w:rsidRDefault="003F185B" w:rsidP="003F185B">
            <w:pPr>
              <w:rPr>
                <w:rFonts w:asciiTheme="minorHAnsi" w:hAnsiTheme="minorHAnsi"/>
                <w:color w:val="000000"/>
                <w:sz w:val="20"/>
                <w:szCs w:val="20"/>
              </w:rPr>
            </w:pPr>
            <w:r w:rsidRPr="003F185B">
              <w:rPr>
                <w:rFonts w:asciiTheme="minorHAnsi" w:hAnsiTheme="minorHAnsi"/>
                <w:color w:val="000000"/>
                <w:sz w:val="20"/>
                <w:szCs w:val="20"/>
              </w:rPr>
              <w:t xml:space="preserve">· Ron also gave the committee a preview of the projects IT will be working on during the Winter intersession: Communication Rooms will be color coded and straightened </w:t>
            </w:r>
            <w:r>
              <w:rPr>
                <w:rFonts w:asciiTheme="minorHAnsi" w:hAnsiTheme="minorHAnsi"/>
                <w:color w:val="000000"/>
                <w:sz w:val="20"/>
                <w:szCs w:val="20"/>
              </w:rPr>
              <w:t>up; work in Data Center as well.</w:t>
            </w: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6508C291" w:rsidR="004076A4" w:rsidRPr="00672500" w:rsidRDefault="00750B6C" w:rsidP="004C08A0">
            <w:pPr>
              <w:rPr>
                <w:rFonts w:asciiTheme="minorHAnsi" w:hAnsiTheme="minorHAnsi"/>
                <w:sz w:val="22"/>
                <w:szCs w:val="22"/>
              </w:rPr>
            </w:pPr>
            <w:r>
              <w:rPr>
                <w:rFonts w:asciiTheme="minorHAnsi" w:hAnsiTheme="minorHAnsi"/>
                <w:sz w:val="22"/>
                <w:szCs w:val="22"/>
              </w:rPr>
              <w:t>FLAC will meet Friday Dec 13.</w:t>
            </w:r>
          </w:p>
        </w:tc>
      </w:tr>
      <w:tr w:rsidR="00922473" w14:paraId="2106A9EC" w14:textId="77777777" w:rsidTr="00FA4891">
        <w:trPr>
          <w:trHeight w:val="305"/>
        </w:trPr>
        <w:tc>
          <w:tcPr>
            <w:tcW w:w="4135" w:type="dxa"/>
          </w:tcPr>
          <w:p w14:paraId="015AB4B2" w14:textId="77777777"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0A4D063C" w14:textId="77777777" w:rsidR="000A2600" w:rsidRDefault="00750B6C" w:rsidP="00177810">
            <w:pPr>
              <w:rPr>
                <w:rFonts w:asciiTheme="minorHAnsi" w:hAnsiTheme="minorHAnsi"/>
                <w:sz w:val="22"/>
                <w:szCs w:val="22"/>
              </w:rPr>
            </w:pPr>
            <w:r>
              <w:rPr>
                <w:rFonts w:asciiTheme="minorHAnsi" w:hAnsiTheme="minorHAnsi"/>
                <w:sz w:val="22"/>
                <w:szCs w:val="22"/>
              </w:rPr>
              <w:t>Online Regulations Update for SPOT Recertification is very close to being finished!</w:t>
            </w:r>
          </w:p>
          <w:p w14:paraId="449DF41E" w14:textId="77777777" w:rsidR="00750B6C" w:rsidRDefault="00750B6C" w:rsidP="00177810">
            <w:pPr>
              <w:rPr>
                <w:rFonts w:asciiTheme="minorHAnsi" w:hAnsiTheme="minorHAnsi"/>
                <w:sz w:val="22"/>
                <w:szCs w:val="22"/>
              </w:rPr>
            </w:pPr>
            <w:r>
              <w:rPr>
                <w:rFonts w:asciiTheme="minorHAnsi" w:hAnsiTheme="minorHAnsi"/>
                <w:sz w:val="22"/>
                <w:szCs w:val="22"/>
              </w:rPr>
              <w:t>Canvas-</w:t>
            </w:r>
            <w:proofErr w:type="spellStart"/>
            <w:r>
              <w:rPr>
                <w:rFonts w:asciiTheme="minorHAnsi" w:hAnsiTheme="minorHAnsi"/>
                <w:sz w:val="22"/>
                <w:szCs w:val="22"/>
              </w:rPr>
              <w:t>sadors</w:t>
            </w:r>
            <w:proofErr w:type="spellEnd"/>
            <w:r>
              <w:rPr>
                <w:rFonts w:asciiTheme="minorHAnsi" w:hAnsiTheme="minorHAnsi"/>
                <w:sz w:val="22"/>
                <w:szCs w:val="22"/>
              </w:rPr>
              <w:t xml:space="preserve"> received 59 student applications (11 complete)</w:t>
            </w:r>
          </w:p>
          <w:p w14:paraId="58048877" w14:textId="656C4438" w:rsidR="00750B6C" w:rsidRDefault="00750B6C" w:rsidP="00177810">
            <w:pPr>
              <w:rPr>
                <w:rFonts w:asciiTheme="minorHAnsi" w:hAnsiTheme="minorHAnsi"/>
                <w:sz w:val="22"/>
                <w:szCs w:val="22"/>
              </w:rPr>
            </w:pPr>
            <w:r>
              <w:rPr>
                <w:rFonts w:asciiTheme="minorHAnsi" w:hAnsiTheme="minorHAnsi"/>
                <w:sz w:val="22"/>
                <w:szCs w:val="22"/>
              </w:rPr>
              <w:t>SPOT recertification track submitted for Flex Day – awaiting approval</w:t>
            </w:r>
          </w:p>
          <w:p w14:paraId="058209F1" w14:textId="54019D20" w:rsidR="00750B6C" w:rsidRDefault="00750B6C" w:rsidP="00177810">
            <w:pPr>
              <w:rPr>
                <w:rFonts w:asciiTheme="minorHAnsi" w:hAnsiTheme="minorHAnsi"/>
                <w:sz w:val="22"/>
                <w:szCs w:val="22"/>
              </w:rPr>
            </w:pPr>
            <w:r>
              <w:rPr>
                <w:rFonts w:asciiTheme="minorHAnsi" w:hAnsiTheme="minorHAnsi"/>
                <w:sz w:val="22"/>
                <w:szCs w:val="22"/>
              </w:rPr>
              <w:t>3 SPOT recertification workshops scheduled for January (January 17, 23, 31)</w:t>
            </w:r>
          </w:p>
          <w:p w14:paraId="68CC643A" w14:textId="77777777" w:rsidR="00750B6C" w:rsidRDefault="00750B6C" w:rsidP="00177810">
            <w:pPr>
              <w:rPr>
                <w:rFonts w:asciiTheme="minorHAnsi" w:hAnsiTheme="minorHAnsi"/>
                <w:sz w:val="22"/>
                <w:szCs w:val="22"/>
              </w:rPr>
            </w:pPr>
            <w:r>
              <w:rPr>
                <w:rFonts w:asciiTheme="minorHAnsi" w:hAnsiTheme="minorHAnsi"/>
                <w:sz w:val="22"/>
                <w:szCs w:val="22"/>
              </w:rPr>
              <w:lastRenderedPageBreak/>
              <w:t>Feb 19 SPOT recertification workshop cancelled due to Flex Day submission</w:t>
            </w:r>
          </w:p>
          <w:p w14:paraId="4E052B0F" w14:textId="77777777" w:rsidR="00750B6C" w:rsidRDefault="00750B6C" w:rsidP="00177810">
            <w:pPr>
              <w:rPr>
                <w:rFonts w:asciiTheme="minorHAnsi" w:hAnsiTheme="minorHAnsi"/>
                <w:sz w:val="22"/>
                <w:szCs w:val="22"/>
              </w:rPr>
            </w:pPr>
            <w:r>
              <w:rPr>
                <w:rFonts w:asciiTheme="minorHAnsi" w:hAnsiTheme="minorHAnsi"/>
                <w:sz w:val="22"/>
                <w:szCs w:val="22"/>
              </w:rPr>
              <w:t>FCLT is looking at the POD data set to see if we can auto-award faculty for SPOT recertification</w:t>
            </w:r>
          </w:p>
          <w:p w14:paraId="0FD2B216" w14:textId="0ED5D2BC" w:rsidR="00755D9B" w:rsidRPr="00672500" w:rsidRDefault="00755D9B" w:rsidP="00177810">
            <w:pPr>
              <w:rPr>
                <w:rFonts w:asciiTheme="minorHAnsi" w:hAnsiTheme="minorHAnsi"/>
                <w:sz w:val="22"/>
                <w:szCs w:val="22"/>
              </w:rPr>
            </w:pPr>
            <w:r w:rsidRPr="00755D9B">
              <w:rPr>
                <w:rFonts w:asciiTheme="minorHAnsi" w:hAnsiTheme="minorHAnsi"/>
                <w:sz w:val="22"/>
                <w:szCs w:val="22"/>
                <w:highlight w:val="yellow"/>
              </w:rPr>
              <w:t>IB9, IIIC, IIIA14</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3D6A9BAD" w:rsidR="00FC4E3D" w:rsidRPr="00672500" w:rsidRDefault="00FC4E3D">
            <w:pPr>
              <w:rPr>
                <w:rFonts w:asciiTheme="minorHAnsi" w:hAnsiTheme="minorHAnsi"/>
                <w:sz w:val="22"/>
                <w:szCs w:val="22"/>
              </w:rPr>
            </w:pPr>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6E6ED684" w14:textId="0653826C" w:rsidR="00EA244C" w:rsidRDefault="00EA244C" w:rsidP="00BA2C69">
            <w:pPr>
              <w:rPr>
                <w:rFonts w:asciiTheme="minorHAnsi" w:hAnsiTheme="minorHAnsi"/>
              </w:rPr>
            </w:pPr>
            <w:r>
              <w:rPr>
                <w:rFonts w:asciiTheme="minorHAnsi" w:hAnsiTheme="minorHAnsi"/>
              </w:rPr>
              <w:t>CISS 11</w:t>
            </w:r>
          </w:p>
          <w:p w14:paraId="10CF4D45" w14:textId="4CBF0DA6" w:rsidR="00EA244C" w:rsidRDefault="00EA244C" w:rsidP="00BA2C69">
            <w:pPr>
              <w:rPr>
                <w:rFonts w:asciiTheme="minorHAnsi" w:hAnsiTheme="minorHAnsi"/>
              </w:rPr>
            </w:pPr>
            <w:r>
              <w:rPr>
                <w:rFonts w:asciiTheme="minorHAnsi" w:hAnsiTheme="minorHAnsi"/>
              </w:rPr>
              <w:t>CISN 11</w:t>
            </w:r>
          </w:p>
          <w:p w14:paraId="587B7DC8" w14:textId="46862E30" w:rsidR="00EA244C" w:rsidRDefault="00EA244C" w:rsidP="00BA2C69">
            <w:pPr>
              <w:rPr>
                <w:rFonts w:asciiTheme="minorHAnsi" w:hAnsiTheme="minorHAnsi"/>
              </w:rPr>
            </w:pPr>
            <w:r>
              <w:rPr>
                <w:rFonts w:asciiTheme="minorHAnsi" w:hAnsiTheme="minorHAnsi"/>
              </w:rPr>
              <w:t>CISW 21L</w:t>
            </w:r>
          </w:p>
          <w:p w14:paraId="032789A0" w14:textId="5267E2CC" w:rsidR="00EA244C" w:rsidRPr="008019A3" w:rsidRDefault="00EA244C" w:rsidP="00BA2C69">
            <w:pPr>
              <w:rPr>
                <w:rFonts w:asciiTheme="minorHAnsi" w:hAnsiTheme="minorHAnsi"/>
              </w:rPr>
            </w:pPr>
            <w:r>
              <w:rPr>
                <w:rFonts w:asciiTheme="minorHAnsi" w:hAnsiTheme="minorHAnsi"/>
              </w:rPr>
              <w:t>SIGN 101</w:t>
            </w:r>
          </w:p>
        </w:tc>
        <w:tc>
          <w:tcPr>
            <w:tcW w:w="6655" w:type="dxa"/>
          </w:tcPr>
          <w:p w14:paraId="16035FED" w14:textId="77777777" w:rsidR="00E55C72" w:rsidRDefault="00750B6C" w:rsidP="000E7875">
            <w:pPr>
              <w:pStyle w:val="ListParagraph"/>
              <w:ind w:left="0"/>
              <w:rPr>
                <w:rFonts w:asciiTheme="minorHAnsi" w:hAnsiTheme="minorHAnsi"/>
                <w:sz w:val="22"/>
                <w:szCs w:val="22"/>
              </w:rPr>
            </w:pPr>
            <w:r>
              <w:rPr>
                <w:rFonts w:asciiTheme="minorHAnsi" w:hAnsiTheme="minorHAnsi"/>
                <w:sz w:val="22"/>
                <w:szCs w:val="22"/>
              </w:rPr>
              <w:t>Approved</w:t>
            </w:r>
          </w:p>
          <w:p w14:paraId="787EA1BF" w14:textId="77777777" w:rsidR="00750B6C" w:rsidRDefault="00750B6C" w:rsidP="000E7875">
            <w:pPr>
              <w:pStyle w:val="ListParagraph"/>
              <w:ind w:left="0"/>
              <w:rPr>
                <w:rFonts w:asciiTheme="minorHAnsi" w:hAnsiTheme="minorHAnsi"/>
                <w:sz w:val="22"/>
                <w:szCs w:val="22"/>
              </w:rPr>
            </w:pPr>
            <w:r>
              <w:rPr>
                <w:rFonts w:asciiTheme="minorHAnsi" w:hAnsiTheme="minorHAnsi"/>
                <w:sz w:val="22"/>
                <w:szCs w:val="22"/>
              </w:rPr>
              <w:t>Approved</w:t>
            </w:r>
          </w:p>
          <w:p w14:paraId="531119B9" w14:textId="77777777" w:rsidR="00750B6C" w:rsidRDefault="00750B6C" w:rsidP="000E7875">
            <w:pPr>
              <w:pStyle w:val="ListParagraph"/>
              <w:ind w:left="0"/>
              <w:rPr>
                <w:rFonts w:asciiTheme="minorHAnsi" w:hAnsiTheme="minorHAnsi"/>
                <w:sz w:val="22"/>
                <w:szCs w:val="22"/>
              </w:rPr>
            </w:pPr>
            <w:r>
              <w:rPr>
                <w:rFonts w:asciiTheme="minorHAnsi" w:hAnsiTheme="minorHAnsi"/>
                <w:sz w:val="22"/>
                <w:szCs w:val="22"/>
              </w:rPr>
              <w:t>Approved</w:t>
            </w:r>
          </w:p>
          <w:p w14:paraId="49C70980" w14:textId="77777777" w:rsidR="00750B6C" w:rsidRDefault="00750B6C" w:rsidP="000E7875">
            <w:pPr>
              <w:pStyle w:val="ListParagraph"/>
              <w:ind w:left="0"/>
              <w:rPr>
                <w:rFonts w:asciiTheme="minorHAnsi" w:hAnsiTheme="minorHAnsi"/>
                <w:sz w:val="22"/>
                <w:szCs w:val="22"/>
              </w:rPr>
            </w:pPr>
            <w:r>
              <w:rPr>
                <w:rFonts w:asciiTheme="minorHAnsi" w:hAnsiTheme="minorHAnsi"/>
                <w:sz w:val="22"/>
                <w:szCs w:val="22"/>
              </w:rPr>
              <w:t>Approved</w:t>
            </w:r>
          </w:p>
          <w:p w14:paraId="46EEA206" w14:textId="6AB324D4" w:rsidR="00755D9B" w:rsidRPr="00672500" w:rsidRDefault="00755D9B" w:rsidP="000E7875">
            <w:pPr>
              <w:pStyle w:val="ListParagraph"/>
              <w:ind w:left="0"/>
              <w:rPr>
                <w:rFonts w:asciiTheme="minorHAnsi" w:hAnsiTheme="minorHAnsi"/>
                <w:sz w:val="22"/>
                <w:szCs w:val="22"/>
              </w:rPr>
            </w:pPr>
            <w:r w:rsidRPr="00755D9B">
              <w:rPr>
                <w:rFonts w:asciiTheme="minorHAnsi" w:hAnsiTheme="minorHAnsi"/>
                <w:sz w:val="22"/>
                <w:szCs w:val="22"/>
                <w:highlight w:val="yellow"/>
              </w:rPr>
              <w:t>IIA, IIIC</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750B6C" w14:paraId="6967783C" w14:textId="77777777" w:rsidTr="00FA4891">
        <w:tc>
          <w:tcPr>
            <w:tcW w:w="4135" w:type="dxa"/>
          </w:tcPr>
          <w:p w14:paraId="525CAFAE" w14:textId="76B60183" w:rsidR="00750B6C" w:rsidRDefault="0094253D" w:rsidP="007457AF">
            <w:pPr>
              <w:rPr>
                <w:rFonts w:asciiTheme="minorHAnsi" w:hAnsiTheme="minorHAnsi"/>
              </w:rPr>
            </w:pPr>
            <w:r>
              <w:rPr>
                <w:rFonts w:asciiTheme="minorHAnsi" w:hAnsiTheme="minorHAnsi"/>
              </w:rPr>
              <w:t>Academic Senate Update</w:t>
            </w:r>
          </w:p>
        </w:tc>
        <w:tc>
          <w:tcPr>
            <w:tcW w:w="6655" w:type="dxa"/>
          </w:tcPr>
          <w:p w14:paraId="564037B9" w14:textId="2EA60884" w:rsidR="00750B6C" w:rsidRPr="0094253D" w:rsidRDefault="0094253D" w:rsidP="0068677B">
            <w:pPr>
              <w:rPr>
                <w:rFonts w:asciiTheme="minorHAnsi" w:hAnsiTheme="minorHAnsi"/>
                <w:sz w:val="22"/>
                <w:szCs w:val="22"/>
              </w:rPr>
            </w:pPr>
            <w:r w:rsidRPr="0094253D">
              <w:rPr>
                <w:rFonts w:asciiTheme="minorHAnsi" w:hAnsiTheme="minorHAnsi"/>
                <w:sz w:val="22"/>
                <w:szCs w:val="22"/>
              </w:rPr>
              <w:t>Both the DLC-composed resolution on OEI alignment, and the REC Task Force report and rubric were introduced as discussion items</w:t>
            </w:r>
            <w:r w:rsidR="00AF2616">
              <w:rPr>
                <w:rFonts w:asciiTheme="minorHAnsi" w:hAnsiTheme="minorHAnsi"/>
                <w:sz w:val="22"/>
                <w:szCs w:val="22"/>
              </w:rPr>
              <w:t xml:space="preserve"> at the Dec 5 AS meeting</w:t>
            </w:r>
            <w:r w:rsidRPr="0094253D">
              <w:rPr>
                <w:rFonts w:asciiTheme="minorHAnsi" w:hAnsiTheme="minorHAnsi"/>
                <w:sz w:val="22"/>
                <w:szCs w:val="22"/>
              </w:rPr>
              <w:t xml:space="preserve">.  </w:t>
            </w:r>
          </w:p>
          <w:p w14:paraId="7FF257A1" w14:textId="77777777" w:rsidR="0094253D" w:rsidRDefault="00AF2616" w:rsidP="00077352">
            <w:pPr>
              <w:pStyle w:val="paragraph"/>
              <w:spacing w:before="0" w:beforeAutospacing="0" w:after="0" w:afterAutospacing="0"/>
              <w:textAlignment w:val="baseline"/>
              <w:rPr>
                <w:rStyle w:val="eop"/>
                <w:rFonts w:asciiTheme="minorHAnsi" w:hAnsiTheme="minorHAnsi" w:cs="Arial"/>
                <w:sz w:val="22"/>
                <w:szCs w:val="22"/>
              </w:rPr>
            </w:pPr>
            <w:r>
              <w:rPr>
                <w:rFonts w:asciiTheme="minorHAnsi" w:hAnsiTheme="minorHAnsi"/>
                <w:sz w:val="22"/>
                <w:szCs w:val="22"/>
              </w:rPr>
              <w:t>There were</w:t>
            </w:r>
            <w:r w:rsidR="0094253D" w:rsidRPr="0094253D">
              <w:rPr>
                <w:rFonts w:asciiTheme="minorHAnsi" w:hAnsiTheme="minorHAnsi"/>
                <w:sz w:val="22"/>
                <w:szCs w:val="22"/>
              </w:rPr>
              <w:t xml:space="preserve"> not many questions about the REC Task Force pieces.  FA indicated potential concerns with the phrase “</w:t>
            </w:r>
            <w:r w:rsidR="0094253D" w:rsidRPr="0094253D">
              <w:rPr>
                <w:rStyle w:val="normaltextrun"/>
                <w:rFonts w:asciiTheme="minorHAnsi" w:hAnsiTheme="minorHAnsi" w:cs="Arial"/>
                <w:color w:val="000000"/>
                <w:sz w:val="22"/>
                <w:szCs w:val="22"/>
              </w:rPr>
              <w:t>Resolved, That Mt. SAC Academic Senate supports the provision of resources so that faculty who wish to participate in local peer online course review may do so.</w:t>
            </w:r>
            <w:r w:rsidR="0094253D" w:rsidRPr="0094253D">
              <w:rPr>
                <w:rStyle w:val="eop"/>
                <w:rFonts w:asciiTheme="minorHAnsi" w:hAnsiTheme="minorHAnsi" w:cs="Arial"/>
                <w:sz w:val="22"/>
                <w:szCs w:val="22"/>
              </w:rPr>
              <w:t> </w:t>
            </w:r>
            <w:r w:rsidR="0094253D" w:rsidRPr="0094253D">
              <w:rPr>
                <w:rStyle w:val="eop"/>
                <w:rFonts w:asciiTheme="minorHAnsi" w:hAnsiTheme="minorHAnsi" w:cs="Arial"/>
                <w:sz w:val="22"/>
                <w:szCs w:val="22"/>
              </w:rPr>
              <w:t xml:space="preserve">“  One </w:t>
            </w:r>
            <w:r w:rsidR="0094253D">
              <w:rPr>
                <w:rStyle w:val="eop"/>
                <w:rFonts w:asciiTheme="minorHAnsi" w:hAnsiTheme="minorHAnsi" w:cs="Arial"/>
                <w:sz w:val="22"/>
                <w:szCs w:val="22"/>
              </w:rPr>
              <w:t>question was, who supplies the resources?</w:t>
            </w:r>
            <w:r w:rsidR="0094253D">
              <w:rPr>
                <w:rFonts w:asciiTheme="minorHAnsi" w:hAnsiTheme="minorHAnsi" w:cs="Segoe UI"/>
                <w:sz w:val="22"/>
                <w:szCs w:val="22"/>
              </w:rPr>
              <w:t xml:space="preserve">  Does approving this resolution mean that the college must supply resources?  If this is a large concern, DLC suggested alternate phrase of </w:t>
            </w:r>
            <w:r w:rsidR="0094253D" w:rsidRPr="0094253D">
              <w:rPr>
                <w:rFonts w:asciiTheme="minorHAnsi" w:hAnsiTheme="minorHAnsi" w:cs="Segoe UI"/>
                <w:sz w:val="22"/>
                <w:szCs w:val="22"/>
              </w:rPr>
              <w:t>“</w:t>
            </w:r>
            <w:r w:rsidR="0094253D" w:rsidRPr="0094253D">
              <w:rPr>
                <w:rStyle w:val="normaltextrun"/>
                <w:rFonts w:asciiTheme="minorHAnsi" w:hAnsiTheme="minorHAnsi" w:cs="Arial"/>
                <w:color w:val="000000"/>
                <w:sz w:val="22"/>
                <w:szCs w:val="22"/>
              </w:rPr>
              <w:t>Resolved, That Mt. SAC Academic Senate </w:t>
            </w:r>
            <w:r w:rsidR="0094253D" w:rsidRPr="0094253D">
              <w:rPr>
                <w:rStyle w:val="normaltextrun"/>
                <w:rFonts w:asciiTheme="minorHAnsi" w:hAnsiTheme="minorHAnsi" w:cs="Arial"/>
                <w:color w:val="000000"/>
                <w:sz w:val="22"/>
                <w:szCs w:val="22"/>
              </w:rPr>
              <w:t>[</w:t>
            </w:r>
            <w:r w:rsidR="0094253D" w:rsidRPr="0094253D">
              <w:rPr>
                <w:rStyle w:val="normaltextrun"/>
                <w:rFonts w:asciiTheme="minorHAnsi" w:hAnsiTheme="minorHAnsi" w:cs="Arial"/>
                <w:color w:val="000000"/>
                <w:sz w:val="22"/>
                <w:szCs w:val="22"/>
              </w:rPr>
              <w:t>supports</w:t>
            </w:r>
            <w:r w:rsidR="0094253D" w:rsidRPr="0094253D">
              <w:rPr>
                <w:rStyle w:val="normaltextrun"/>
                <w:rFonts w:asciiTheme="minorHAnsi" w:hAnsiTheme="minorHAnsi" w:cs="Arial"/>
                <w:color w:val="000000"/>
                <w:sz w:val="22"/>
                <w:szCs w:val="22"/>
              </w:rPr>
              <w:t xml:space="preserve"> or encourages]</w:t>
            </w:r>
            <w:r w:rsidR="0094253D" w:rsidRPr="0094253D">
              <w:rPr>
                <w:rStyle w:val="normaltextrun"/>
                <w:rFonts w:asciiTheme="minorHAnsi" w:hAnsiTheme="minorHAnsi" w:cs="Arial"/>
                <w:color w:val="000000"/>
                <w:sz w:val="22"/>
                <w:szCs w:val="22"/>
              </w:rPr>
              <w:t xml:space="preserve"> that faculty who wish to participate in local peer online course review may do so</w:t>
            </w:r>
            <w:r w:rsidR="0094253D" w:rsidRPr="0094253D">
              <w:rPr>
                <w:rStyle w:val="eop"/>
                <w:rFonts w:asciiTheme="minorHAnsi" w:hAnsiTheme="minorHAnsi" w:cs="Arial"/>
                <w:sz w:val="22"/>
                <w:szCs w:val="22"/>
              </w:rPr>
              <w:t>”</w:t>
            </w:r>
            <w:r>
              <w:rPr>
                <w:rStyle w:val="eop"/>
                <w:rFonts w:asciiTheme="minorHAnsi" w:hAnsiTheme="minorHAnsi" w:cs="Arial"/>
                <w:sz w:val="22"/>
                <w:szCs w:val="22"/>
              </w:rPr>
              <w:t xml:space="preserve"> or, potenti</w:t>
            </w:r>
            <w:r w:rsidR="00077352">
              <w:rPr>
                <w:rStyle w:val="eop"/>
                <w:rFonts w:asciiTheme="minorHAnsi" w:hAnsiTheme="minorHAnsi" w:cs="Arial"/>
                <w:sz w:val="22"/>
                <w:szCs w:val="22"/>
              </w:rPr>
              <w:t xml:space="preserve">ally, remove the entire phrase.   </w:t>
            </w:r>
          </w:p>
          <w:p w14:paraId="48CC8718" w14:textId="3C0F08BC" w:rsidR="00755D9B" w:rsidRPr="00755D9B" w:rsidRDefault="00755D9B" w:rsidP="00077352">
            <w:pPr>
              <w:pStyle w:val="paragraph"/>
              <w:spacing w:before="0" w:beforeAutospacing="0" w:after="0" w:afterAutospacing="0"/>
              <w:textAlignment w:val="baseline"/>
              <w:rPr>
                <w:rFonts w:asciiTheme="minorHAnsi" w:hAnsiTheme="minorHAnsi" w:cs="Segoe UI"/>
                <w:sz w:val="22"/>
                <w:szCs w:val="22"/>
              </w:rPr>
            </w:pPr>
            <w:bookmarkStart w:id="0" w:name="_GoBack"/>
            <w:bookmarkEnd w:id="0"/>
            <w:r w:rsidRPr="00755D9B">
              <w:rPr>
                <w:rFonts w:asciiTheme="minorHAnsi" w:hAnsiTheme="minorHAnsi" w:cs="Segoe UI"/>
                <w:sz w:val="22"/>
                <w:szCs w:val="22"/>
                <w:highlight w:val="yellow"/>
              </w:rPr>
              <w:t>IB9, IIA, IIIC</w:t>
            </w:r>
          </w:p>
        </w:tc>
      </w:tr>
      <w:tr w:rsidR="00864DC9" w14:paraId="788784C2" w14:textId="77777777" w:rsidTr="00FA4891">
        <w:tc>
          <w:tcPr>
            <w:tcW w:w="4135" w:type="dxa"/>
          </w:tcPr>
          <w:p w14:paraId="30E2ECB9" w14:textId="5B94FFB0" w:rsidR="00864DC9" w:rsidRDefault="00D77C7C" w:rsidP="007457AF">
            <w:pPr>
              <w:rPr>
                <w:rFonts w:asciiTheme="minorHAnsi" w:hAnsiTheme="minorHAnsi"/>
              </w:rPr>
            </w:pPr>
            <w:r>
              <w:rPr>
                <w:rFonts w:asciiTheme="minorHAnsi" w:hAnsiTheme="minorHAnsi"/>
              </w:rPr>
              <w:t>SOSE (Survey of Online Student Engagement)</w:t>
            </w:r>
          </w:p>
        </w:tc>
        <w:tc>
          <w:tcPr>
            <w:tcW w:w="6655" w:type="dxa"/>
          </w:tcPr>
          <w:p w14:paraId="051261F5" w14:textId="77777777" w:rsidR="00864DC9" w:rsidRDefault="00077352" w:rsidP="00755D9B">
            <w:pPr>
              <w:rPr>
                <w:rFonts w:asciiTheme="minorHAnsi" w:hAnsiTheme="minorHAnsi"/>
                <w:sz w:val="22"/>
                <w:szCs w:val="22"/>
              </w:rPr>
            </w:pPr>
            <w:r>
              <w:rPr>
                <w:rFonts w:asciiTheme="minorHAnsi" w:hAnsiTheme="minorHAnsi"/>
                <w:sz w:val="22"/>
                <w:szCs w:val="22"/>
              </w:rPr>
              <w:t>The DLC discussed potential q</w:t>
            </w:r>
            <w:r w:rsidR="00A65D87">
              <w:rPr>
                <w:rFonts w:asciiTheme="minorHAnsi" w:hAnsiTheme="minorHAnsi"/>
                <w:sz w:val="22"/>
                <w:szCs w:val="22"/>
              </w:rPr>
              <w:t xml:space="preserve">uestions to add to the </w:t>
            </w:r>
            <w:r w:rsidR="00755D9B">
              <w:rPr>
                <w:rFonts w:asciiTheme="minorHAnsi" w:hAnsiTheme="minorHAnsi"/>
                <w:sz w:val="22"/>
                <w:szCs w:val="22"/>
              </w:rPr>
              <w:t>survey</w:t>
            </w:r>
            <w:r w:rsidR="00A65D87">
              <w:rPr>
                <w:rFonts w:asciiTheme="minorHAnsi" w:hAnsiTheme="minorHAnsi"/>
                <w:sz w:val="22"/>
                <w:szCs w:val="22"/>
              </w:rPr>
              <w:t xml:space="preserve">. </w:t>
            </w:r>
            <w:r>
              <w:rPr>
                <w:rFonts w:asciiTheme="minorHAnsi" w:hAnsiTheme="minorHAnsi"/>
                <w:sz w:val="22"/>
                <w:szCs w:val="22"/>
              </w:rPr>
              <w:t xml:space="preserve"> However, after discussing the format and intentions of the SOSE with</w:t>
            </w:r>
            <w:r w:rsidR="00A65D87">
              <w:rPr>
                <w:rFonts w:asciiTheme="minorHAnsi" w:hAnsiTheme="minorHAnsi"/>
                <w:sz w:val="22"/>
                <w:szCs w:val="22"/>
              </w:rPr>
              <w:t xml:space="preserve"> Barbara </w:t>
            </w:r>
            <w:proofErr w:type="spellStart"/>
            <w:r w:rsidR="00A65D87">
              <w:rPr>
                <w:rFonts w:asciiTheme="minorHAnsi" w:hAnsiTheme="minorHAnsi"/>
                <w:sz w:val="22"/>
                <w:szCs w:val="22"/>
              </w:rPr>
              <w:t>McN</w:t>
            </w:r>
            <w:r>
              <w:rPr>
                <w:rFonts w:asciiTheme="minorHAnsi" w:hAnsiTheme="minorHAnsi"/>
                <w:sz w:val="22"/>
                <w:szCs w:val="22"/>
              </w:rPr>
              <w:t>iece-Stallard</w:t>
            </w:r>
            <w:proofErr w:type="spellEnd"/>
            <w:r>
              <w:rPr>
                <w:rFonts w:asciiTheme="minorHAnsi" w:hAnsiTheme="minorHAnsi"/>
                <w:sz w:val="22"/>
                <w:szCs w:val="22"/>
              </w:rPr>
              <w:t>, who confirmed that Mt. SAC did not have to participate, the DLC recommended not deploying it.</w:t>
            </w:r>
          </w:p>
          <w:p w14:paraId="0CA03114" w14:textId="2D44944D" w:rsidR="00755D9B" w:rsidRDefault="00755D9B" w:rsidP="00755D9B">
            <w:pPr>
              <w:rPr>
                <w:rFonts w:asciiTheme="minorHAnsi" w:hAnsiTheme="minorHAnsi"/>
                <w:sz w:val="22"/>
                <w:szCs w:val="22"/>
              </w:rPr>
            </w:pPr>
            <w:r w:rsidRPr="00F10032">
              <w:rPr>
                <w:rFonts w:asciiTheme="minorHAnsi" w:hAnsiTheme="minorHAnsi"/>
                <w:sz w:val="22"/>
                <w:szCs w:val="22"/>
                <w:highlight w:val="yellow"/>
              </w:rPr>
              <w:t>IB9, IIA</w:t>
            </w:r>
          </w:p>
        </w:tc>
      </w:tr>
      <w:tr w:rsidR="00C705D2" w14:paraId="18CC5159" w14:textId="77777777" w:rsidTr="00FA4891">
        <w:tc>
          <w:tcPr>
            <w:tcW w:w="4135" w:type="dxa"/>
          </w:tcPr>
          <w:p w14:paraId="626918DE" w14:textId="41D6A671" w:rsidR="00C705D2" w:rsidRDefault="002F30C5" w:rsidP="007457AF">
            <w:pPr>
              <w:rPr>
                <w:rFonts w:asciiTheme="minorHAnsi" w:hAnsiTheme="minorHAnsi"/>
              </w:rPr>
            </w:pPr>
            <w:r>
              <w:rPr>
                <w:rFonts w:asciiTheme="minorHAnsi" w:hAnsiTheme="minorHAnsi"/>
              </w:rPr>
              <w:t xml:space="preserve">CVC OEI </w:t>
            </w:r>
            <w:r w:rsidR="00D77C7C">
              <w:rPr>
                <w:rFonts w:asciiTheme="minorHAnsi" w:hAnsiTheme="minorHAnsi"/>
              </w:rPr>
              <w:t xml:space="preserve">(California Virtual Campus Online Education Initiative) </w:t>
            </w:r>
            <w:r>
              <w:rPr>
                <w:rFonts w:asciiTheme="minorHAnsi" w:hAnsiTheme="minorHAnsi"/>
              </w:rPr>
              <w:t>Grant Update</w:t>
            </w:r>
          </w:p>
        </w:tc>
        <w:tc>
          <w:tcPr>
            <w:tcW w:w="6655" w:type="dxa"/>
          </w:tcPr>
          <w:p w14:paraId="467B236D" w14:textId="5D447BF2" w:rsidR="00437055" w:rsidRDefault="00876AC2" w:rsidP="007C252B">
            <w:pPr>
              <w:rPr>
                <w:rFonts w:asciiTheme="minorHAnsi" w:hAnsiTheme="minorHAnsi"/>
                <w:sz w:val="22"/>
                <w:szCs w:val="22"/>
              </w:rPr>
            </w:pPr>
            <w:r>
              <w:rPr>
                <w:rFonts w:asciiTheme="minorHAnsi" w:hAnsiTheme="minorHAnsi"/>
                <w:sz w:val="22"/>
                <w:szCs w:val="22"/>
              </w:rPr>
              <w:t xml:space="preserve">OEI Alignment:  28 faculty have signed up for the process.  </w:t>
            </w:r>
          </w:p>
          <w:p w14:paraId="2753DAD7" w14:textId="28437D69" w:rsidR="00876AC2" w:rsidRDefault="00876AC2" w:rsidP="007C252B">
            <w:pPr>
              <w:rPr>
                <w:rFonts w:asciiTheme="minorHAnsi" w:hAnsiTheme="minorHAnsi"/>
                <w:sz w:val="22"/>
                <w:szCs w:val="22"/>
              </w:rPr>
            </w:pPr>
            <w:r>
              <w:rPr>
                <w:rFonts w:asciiTheme="minorHAnsi" w:hAnsiTheme="minorHAnsi"/>
                <w:sz w:val="22"/>
                <w:szCs w:val="22"/>
              </w:rPr>
              <w:t>OER selection:  17 faculty have been selected to participate in the OER process this winter.</w:t>
            </w:r>
          </w:p>
          <w:p w14:paraId="191F5A88" w14:textId="77777777" w:rsidR="00876AC2" w:rsidRDefault="00876AC2" w:rsidP="007C252B">
            <w:pPr>
              <w:rPr>
                <w:rFonts w:asciiTheme="minorHAnsi" w:hAnsiTheme="minorHAnsi"/>
                <w:sz w:val="22"/>
                <w:szCs w:val="22"/>
              </w:rPr>
            </w:pPr>
            <w:r>
              <w:rPr>
                <w:rFonts w:asciiTheme="minorHAnsi" w:hAnsiTheme="minorHAnsi"/>
                <w:sz w:val="22"/>
                <w:szCs w:val="22"/>
              </w:rPr>
              <w:t>DL Webpage is being redesigned to clarify language and make it easier for students to navigate.</w:t>
            </w:r>
          </w:p>
          <w:p w14:paraId="240A38E0" w14:textId="77777777" w:rsidR="00E67419" w:rsidRDefault="00E67419" w:rsidP="00750B6C">
            <w:pPr>
              <w:rPr>
                <w:rFonts w:asciiTheme="minorHAnsi" w:hAnsiTheme="minorHAnsi"/>
                <w:sz w:val="22"/>
                <w:szCs w:val="22"/>
              </w:rPr>
            </w:pPr>
            <w:r>
              <w:rPr>
                <w:rFonts w:asciiTheme="minorHAnsi" w:hAnsiTheme="minorHAnsi"/>
                <w:sz w:val="22"/>
                <w:szCs w:val="22"/>
              </w:rPr>
              <w:t xml:space="preserve">POCR Club: has met three times this semester.  Selection of faculty completed – 26 faculty will receive emails.  Their self-assessment </w:t>
            </w:r>
            <w:r w:rsidR="00750B6C">
              <w:rPr>
                <w:rFonts w:asciiTheme="minorHAnsi" w:hAnsiTheme="minorHAnsi"/>
                <w:sz w:val="22"/>
                <w:szCs w:val="22"/>
              </w:rPr>
              <w:t>will</w:t>
            </w:r>
            <w:r>
              <w:rPr>
                <w:rFonts w:asciiTheme="minorHAnsi" w:hAnsiTheme="minorHAnsi"/>
                <w:sz w:val="22"/>
                <w:szCs w:val="22"/>
              </w:rPr>
              <w:t xml:space="preserve"> be due January 10.</w:t>
            </w:r>
          </w:p>
          <w:p w14:paraId="74EBE565" w14:textId="3734BD38" w:rsidR="00755D9B" w:rsidRDefault="00755D9B" w:rsidP="00750B6C">
            <w:pPr>
              <w:rPr>
                <w:rFonts w:asciiTheme="minorHAnsi" w:hAnsiTheme="minorHAnsi"/>
                <w:sz w:val="22"/>
                <w:szCs w:val="22"/>
              </w:rPr>
            </w:pPr>
            <w:r w:rsidRPr="00F10032">
              <w:rPr>
                <w:rFonts w:asciiTheme="minorHAnsi" w:hAnsiTheme="minorHAnsi"/>
                <w:sz w:val="22"/>
                <w:szCs w:val="22"/>
                <w:highlight w:val="yellow"/>
              </w:rPr>
              <w:t>IB9, IIA,</w:t>
            </w:r>
            <w:r>
              <w:rPr>
                <w:rFonts w:asciiTheme="minorHAnsi" w:hAnsiTheme="minorHAnsi"/>
                <w:sz w:val="22"/>
                <w:szCs w:val="22"/>
                <w:highlight w:val="yellow"/>
              </w:rPr>
              <w:t xml:space="preserve"> IIC,</w:t>
            </w:r>
            <w:r w:rsidRPr="00F10032">
              <w:rPr>
                <w:rFonts w:asciiTheme="minorHAnsi" w:hAnsiTheme="minorHAnsi"/>
                <w:sz w:val="22"/>
                <w:szCs w:val="22"/>
                <w:highlight w:val="yellow"/>
              </w:rPr>
              <w:t xml:space="preserve"> IIIC, IIIA14</w:t>
            </w:r>
          </w:p>
        </w:tc>
      </w:tr>
      <w:tr w:rsidR="00A65D87" w14:paraId="04F41C83" w14:textId="77777777" w:rsidTr="004765CF">
        <w:tc>
          <w:tcPr>
            <w:tcW w:w="4135" w:type="dxa"/>
            <w:shd w:val="clear" w:color="auto" w:fill="D9D9D9" w:themeFill="background1" w:themeFillShade="D9"/>
          </w:tcPr>
          <w:p w14:paraId="65474C0E" w14:textId="02551A61" w:rsidR="00A65D87" w:rsidRDefault="00A65D87" w:rsidP="00BA4FDB">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7B3D97C3" w14:textId="15E1B336" w:rsidR="00A65D87" w:rsidRDefault="00A65D87" w:rsidP="007C252B">
            <w:pPr>
              <w:rPr>
                <w:rFonts w:asciiTheme="minorHAnsi" w:hAnsiTheme="minorHAnsi"/>
                <w:sz w:val="22"/>
                <w:szCs w:val="22"/>
              </w:rPr>
            </w:pPr>
          </w:p>
        </w:tc>
      </w:tr>
      <w:tr w:rsidR="00A65D87" w14:paraId="27E60247" w14:textId="77777777" w:rsidTr="004765CF">
        <w:tc>
          <w:tcPr>
            <w:tcW w:w="4135" w:type="dxa"/>
          </w:tcPr>
          <w:p w14:paraId="11385CB5" w14:textId="0EA4EC66" w:rsidR="00A65D87" w:rsidRPr="00970383" w:rsidRDefault="00A65D87" w:rsidP="007457AF">
            <w:pPr>
              <w:rPr>
                <w:rFonts w:asciiTheme="minorHAnsi" w:hAnsiTheme="minorHAnsi"/>
              </w:rPr>
            </w:pPr>
          </w:p>
        </w:tc>
        <w:tc>
          <w:tcPr>
            <w:tcW w:w="6655" w:type="dxa"/>
          </w:tcPr>
          <w:p w14:paraId="3A4944ED" w14:textId="4D4C3FA5" w:rsidR="00A65D87" w:rsidRPr="00823B5D" w:rsidRDefault="00A65D87"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7CCA0104" w14:textId="42BE5D9B" w:rsidR="008C097E" w:rsidRPr="00F1585E" w:rsidRDefault="00864DC9" w:rsidP="00F1585E">
      <w:pPr>
        <w:rPr>
          <w:rFonts w:asciiTheme="minorHAnsi" w:hAnsiTheme="minorHAnsi"/>
          <w:sz w:val="20"/>
          <w:szCs w:val="20"/>
        </w:rPr>
      </w:pPr>
      <w:r>
        <w:rPr>
          <w:rFonts w:asciiTheme="minorHAnsi" w:hAnsiTheme="minorHAnsi"/>
          <w:b/>
          <w:sz w:val="20"/>
          <w:szCs w:val="20"/>
        </w:rPr>
        <w:t>Fall</w:t>
      </w:r>
      <w:r w:rsidR="00783D99">
        <w:rPr>
          <w:rFonts w:asciiTheme="minorHAnsi" w:hAnsiTheme="minorHAnsi"/>
          <w:b/>
          <w:sz w:val="20"/>
          <w:szCs w:val="20"/>
        </w:rPr>
        <w:t xml:space="preserve"> 2019</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sidR="00783D99">
        <w:rPr>
          <w:rFonts w:asciiTheme="minorHAnsi" w:hAnsiTheme="minorHAnsi"/>
          <w:b/>
          <w:sz w:val="20"/>
          <w:szCs w:val="20"/>
        </w:rPr>
        <w:t xml:space="preserve"> –</w:t>
      </w:r>
      <w:r w:rsidR="00321725">
        <w:rPr>
          <w:rFonts w:asciiTheme="minorHAnsi" w:hAnsiTheme="minorHAnsi"/>
          <w:sz w:val="20"/>
          <w:szCs w:val="20"/>
        </w:rPr>
        <w:t>8/27, 9/10,</w:t>
      </w:r>
      <w:r w:rsidR="00F1585E" w:rsidRPr="00F1585E">
        <w:rPr>
          <w:rFonts w:asciiTheme="minorHAnsi" w:hAnsiTheme="minorHAnsi"/>
          <w:sz w:val="20"/>
          <w:szCs w:val="20"/>
        </w:rPr>
        <w:t xml:space="preserve"> 9/24, 10/8, 10/22, 11/12, 11/26, 12/10</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sidR="00783D99">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lastRenderedPageBreak/>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0C670338" w14:textId="4B1C4344" w:rsidR="00BF24C7" w:rsidRPr="005928CA" w:rsidRDefault="00BF24C7" w:rsidP="005928CA">
      <w:pPr>
        <w:shd w:val="clear" w:color="auto" w:fill="FFFFFF"/>
        <w:textAlignment w:val="baseline"/>
        <w:rPr>
          <w:rFonts w:ascii="Calibri" w:hAnsi="Calibri"/>
          <w:color w:val="000000"/>
          <w:sz w:val="20"/>
          <w:szCs w:val="20"/>
        </w:rPr>
      </w:pPr>
    </w:p>
    <w:sectPr w:rsidR="00BF24C7" w:rsidRPr="005928CA"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42F0" w14:textId="77777777" w:rsidR="00C83C1C" w:rsidRDefault="00C83C1C" w:rsidP="005E5603">
      <w:r>
        <w:separator/>
      </w:r>
    </w:p>
  </w:endnote>
  <w:endnote w:type="continuationSeparator" w:id="0">
    <w:p w14:paraId="5019622F" w14:textId="77777777" w:rsidR="00C83C1C" w:rsidRDefault="00C83C1C"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9A28" w14:textId="77777777" w:rsidR="00C83C1C" w:rsidRDefault="00C83C1C" w:rsidP="005E5603">
      <w:r>
        <w:separator/>
      </w:r>
    </w:p>
  </w:footnote>
  <w:footnote w:type="continuationSeparator" w:id="0">
    <w:p w14:paraId="2D3FF1AE" w14:textId="77777777" w:rsidR="00C83C1C" w:rsidRDefault="00C83C1C"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E2745"/>
    <w:multiLevelType w:val="hybridMultilevel"/>
    <w:tmpl w:val="57665B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B5817"/>
    <w:multiLevelType w:val="hybridMultilevel"/>
    <w:tmpl w:val="7B306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1"/>
  </w:num>
  <w:num w:numId="3">
    <w:abstractNumId w:val="28"/>
  </w:num>
  <w:num w:numId="4">
    <w:abstractNumId w:val="23"/>
  </w:num>
  <w:num w:numId="5">
    <w:abstractNumId w:val="4"/>
  </w:num>
  <w:num w:numId="6">
    <w:abstractNumId w:val="18"/>
  </w:num>
  <w:num w:numId="7">
    <w:abstractNumId w:val="12"/>
  </w:num>
  <w:num w:numId="8">
    <w:abstractNumId w:val="25"/>
  </w:num>
  <w:num w:numId="9">
    <w:abstractNumId w:val="16"/>
  </w:num>
  <w:num w:numId="10">
    <w:abstractNumId w:val="20"/>
  </w:num>
  <w:num w:numId="11">
    <w:abstractNumId w:val="22"/>
  </w:num>
  <w:num w:numId="12">
    <w:abstractNumId w:val="6"/>
  </w:num>
  <w:num w:numId="13">
    <w:abstractNumId w:val="13"/>
  </w:num>
  <w:num w:numId="14">
    <w:abstractNumId w:val="37"/>
  </w:num>
  <w:num w:numId="15">
    <w:abstractNumId w:val="24"/>
  </w:num>
  <w:num w:numId="16">
    <w:abstractNumId w:val="7"/>
  </w:num>
  <w:num w:numId="17">
    <w:abstractNumId w:val="17"/>
  </w:num>
  <w:num w:numId="18">
    <w:abstractNumId w:val="10"/>
  </w:num>
  <w:num w:numId="19">
    <w:abstractNumId w:val="29"/>
  </w:num>
  <w:num w:numId="20">
    <w:abstractNumId w:val="0"/>
  </w:num>
  <w:num w:numId="21">
    <w:abstractNumId w:val="36"/>
  </w:num>
  <w:num w:numId="22">
    <w:abstractNumId w:val="2"/>
  </w:num>
  <w:num w:numId="23">
    <w:abstractNumId w:val="5"/>
  </w:num>
  <w:num w:numId="24">
    <w:abstractNumId w:val="19"/>
  </w:num>
  <w:num w:numId="25">
    <w:abstractNumId w:val="32"/>
  </w:num>
  <w:num w:numId="26">
    <w:abstractNumId w:val="8"/>
  </w:num>
  <w:num w:numId="27">
    <w:abstractNumId w:val="3"/>
  </w:num>
  <w:num w:numId="28">
    <w:abstractNumId w:val="9"/>
  </w:num>
  <w:num w:numId="29">
    <w:abstractNumId w:val="33"/>
  </w:num>
  <w:num w:numId="30">
    <w:abstractNumId w:val="3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35"/>
  </w:num>
  <w:num w:numId="35">
    <w:abstractNumId w:val="11"/>
  </w:num>
  <w:num w:numId="36">
    <w:abstractNumId w:val="27"/>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2688"/>
    <w:rsid w:val="00035458"/>
    <w:rsid w:val="00053C9D"/>
    <w:rsid w:val="00062C95"/>
    <w:rsid w:val="000655A5"/>
    <w:rsid w:val="000656FD"/>
    <w:rsid w:val="00066C0E"/>
    <w:rsid w:val="00072BC8"/>
    <w:rsid w:val="00077352"/>
    <w:rsid w:val="00086C7A"/>
    <w:rsid w:val="00087FDB"/>
    <w:rsid w:val="00090C88"/>
    <w:rsid w:val="00093D4E"/>
    <w:rsid w:val="00096ED4"/>
    <w:rsid w:val="000A2600"/>
    <w:rsid w:val="000C4A7B"/>
    <w:rsid w:val="000D59D5"/>
    <w:rsid w:val="000E295A"/>
    <w:rsid w:val="000E4DE7"/>
    <w:rsid w:val="000E7875"/>
    <w:rsid w:val="000E7C12"/>
    <w:rsid w:val="000E7D96"/>
    <w:rsid w:val="000F10F8"/>
    <w:rsid w:val="00103CA8"/>
    <w:rsid w:val="00113F3E"/>
    <w:rsid w:val="0011704C"/>
    <w:rsid w:val="00127C53"/>
    <w:rsid w:val="001335C2"/>
    <w:rsid w:val="001352DF"/>
    <w:rsid w:val="0014167A"/>
    <w:rsid w:val="00143240"/>
    <w:rsid w:val="001529C1"/>
    <w:rsid w:val="00153646"/>
    <w:rsid w:val="001657C4"/>
    <w:rsid w:val="00166568"/>
    <w:rsid w:val="001773A1"/>
    <w:rsid w:val="00177810"/>
    <w:rsid w:val="0018359C"/>
    <w:rsid w:val="00186304"/>
    <w:rsid w:val="001874AA"/>
    <w:rsid w:val="00194F9D"/>
    <w:rsid w:val="001976D3"/>
    <w:rsid w:val="00197852"/>
    <w:rsid w:val="00197FBB"/>
    <w:rsid w:val="001A1F47"/>
    <w:rsid w:val="001A6A4C"/>
    <w:rsid w:val="001B16C7"/>
    <w:rsid w:val="001B1959"/>
    <w:rsid w:val="001B4760"/>
    <w:rsid w:val="001B7CEF"/>
    <w:rsid w:val="001C5824"/>
    <w:rsid w:val="001D1126"/>
    <w:rsid w:val="001E273C"/>
    <w:rsid w:val="001F28EC"/>
    <w:rsid w:val="0021052D"/>
    <w:rsid w:val="00215C0C"/>
    <w:rsid w:val="00215F58"/>
    <w:rsid w:val="00216736"/>
    <w:rsid w:val="00230CDC"/>
    <w:rsid w:val="00234D98"/>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4575"/>
    <w:rsid w:val="002C15B0"/>
    <w:rsid w:val="002C2F53"/>
    <w:rsid w:val="002C4655"/>
    <w:rsid w:val="002C51DD"/>
    <w:rsid w:val="002C64E8"/>
    <w:rsid w:val="002C7C5A"/>
    <w:rsid w:val="002D2890"/>
    <w:rsid w:val="002E4E03"/>
    <w:rsid w:val="002E52C6"/>
    <w:rsid w:val="002F30C5"/>
    <w:rsid w:val="002F4835"/>
    <w:rsid w:val="002F594B"/>
    <w:rsid w:val="00300A6E"/>
    <w:rsid w:val="00305F11"/>
    <w:rsid w:val="00315B38"/>
    <w:rsid w:val="00321725"/>
    <w:rsid w:val="00323281"/>
    <w:rsid w:val="00326FAC"/>
    <w:rsid w:val="003357C7"/>
    <w:rsid w:val="0034231A"/>
    <w:rsid w:val="00347E22"/>
    <w:rsid w:val="00352837"/>
    <w:rsid w:val="00354BA6"/>
    <w:rsid w:val="00365D51"/>
    <w:rsid w:val="00370C43"/>
    <w:rsid w:val="00383BB8"/>
    <w:rsid w:val="003917CB"/>
    <w:rsid w:val="003A1A80"/>
    <w:rsid w:val="003A4DDC"/>
    <w:rsid w:val="003B1195"/>
    <w:rsid w:val="003B37CF"/>
    <w:rsid w:val="003B4588"/>
    <w:rsid w:val="003B74C0"/>
    <w:rsid w:val="003C6931"/>
    <w:rsid w:val="003D05BB"/>
    <w:rsid w:val="003D48D0"/>
    <w:rsid w:val="003E071F"/>
    <w:rsid w:val="003E6445"/>
    <w:rsid w:val="003E74EA"/>
    <w:rsid w:val="003F185B"/>
    <w:rsid w:val="003F2ECB"/>
    <w:rsid w:val="00401D91"/>
    <w:rsid w:val="00404131"/>
    <w:rsid w:val="00404A35"/>
    <w:rsid w:val="004067F1"/>
    <w:rsid w:val="00406D3B"/>
    <w:rsid w:val="004076A4"/>
    <w:rsid w:val="004105ED"/>
    <w:rsid w:val="0041115F"/>
    <w:rsid w:val="00411AC2"/>
    <w:rsid w:val="004142A5"/>
    <w:rsid w:val="00421693"/>
    <w:rsid w:val="004229E0"/>
    <w:rsid w:val="004249C3"/>
    <w:rsid w:val="00437055"/>
    <w:rsid w:val="0044267C"/>
    <w:rsid w:val="004427C3"/>
    <w:rsid w:val="00450900"/>
    <w:rsid w:val="00450B36"/>
    <w:rsid w:val="004542CA"/>
    <w:rsid w:val="00454507"/>
    <w:rsid w:val="00466FBA"/>
    <w:rsid w:val="00482D26"/>
    <w:rsid w:val="00484B6E"/>
    <w:rsid w:val="00490AE0"/>
    <w:rsid w:val="00494540"/>
    <w:rsid w:val="004A3735"/>
    <w:rsid w:val="004B029C"/>
    <w:rsid w:val="004B300B"/>
    <w:rsid w:val="004B428C"/>
    <w:rsid w:val="004B5936"/>
    <w:rsid w:val="004B616F"/>
    <w:rsid w:val="004C08A0"/>
    <w:rsid w:val="004C7C85"/>
    <w:rsid w:val="004D3F10"/>
    <w:rsid w:val="004E7F36"/>
    <w:rsid w:val="00510569"/>
    <w:rsid w:val="00515600"/>
    <w:rsid w:val="005263AA"/>
    <w:rsid w:val="00535A2E"/>
    <w:rsid w:val="00537D1F"/>
    <w:rsid w:val="005639E0"/>
    <w:rsid w:val="00567C4E"/>
    <w:rsid w:val="005702EE"/>
    <w:rsid w:val="005704FA"/>
    <w:rsid w:val="00570963"/>
    <w:rsid w:val="00572F94"/>
    <w:rsid w:val="0057400F"/>
    <w:rsid w:val="00582835"/>
    <w:rsid w:val="005871C8"/>
    <w:rsid w:val="005878DE"/>
    <w:rsid w:val="005928CA"/>
    <w:rsid w:val="00596D2D"/>
    <w:rsid w:val="00596D87"/>
    <w:rsid w:val="005A6387"/>
    <w:rsid w:val="005B3A56"/>
    <w:rsid w:val="005B61A9"/>
    <w:rsid w:val="005B7567"/>
    <w:rsid w:val="005C2B03"/>
    <w:rsid w:val="005C407F"/>
    <w:rsid w:val="005D2BB3"/>
    <w:rsid w:val="005D409C"/>
    <w:rsid w:val="005D40D0"/>
    <w:rsid w:val="005D75E4"/>
    <w:rsid w:val="005E5603"/>
    <w:rsid w:val="005E724F"/>
    <w:rsid w:val="005F0252"/>
    <w:rsid w:val="00602E8C"/>
    <w:rsid w:val="00605387"/>
    <w:rsid w:val="00610574"/>
    <w:rsid w:val="006114E7"/>
    <w:rsid w:val="00622C23"/>
    <w:rsid w:val="00627067"/>
    <w:rsid w:val="006274D9"/>
    <w:rsid w:val="0063511D"/>
    <w:rsid w:val="00635E22"/>
    <w:rsid w:val="00637D9F"/>
    <w:rsid w:val="00640B28"/>
    <w:rsid w:val="00641F93"/>
    <w:rsid w:val="006529D9"/>
    <w:rsid w:val="00655B48"/>
    <w:rsid w:val="00663C7D"/>
    <w:rsid w:val="00672500"/>
    <w:rsid w:val="0067368B"/>
    <w:rsid w:val="00684719"/>
    <w:rsid w:val="006852E2"/>
    <w:rsid w:val="0068677B"/>
    <w:rsid w:val="006927AF"/>
    <w:rsid w:val="006939A1"/>
    <w:rsid w:val="00695B2C"/>
    <w:rsid w:val="006A12A1"/>
    <w:rsid w:val="006A186A"/>
    <w:rsid w:val="006A2499"/>
    <w:rsid w:val="006A4FEC"/>
    <w:rsid w:val="006A5B58"/>
    <w:rsid w:val="006A6493"/>
    <w:rsid w:val="006B2460"/>
    <w:rsid w:val="006B26C0"/>
    <w:rsid w:val="006B49E1"/>
    <w:rsid w:val="006C7495"/>
    <w:rsid w:val="006D4EA7"/>
    <w:rsid w:val="006D74D1"/>
    <w:rsid w:val="006E3DDA"/>
    <w:rsid w:val="006F330E"/>
    <w:rsid w:val="006F7513"/>
    <w:rsid w:val="00700BF8"/>
    <w:rsid w:val="007019BD"/>
    <w:rsid w:val="00707E22"/>
    <w:rsid w:val="007143A7"/>
    <w:rsid w:val="00715AEE"/>
    <w:rsid w:val="00716A3B"/>
    <w:rsid w:val="007224BD"/>
    <w:rsid w:val="00723E45"/>
    <w:rsid w:val="007326C7"/>
    <w:rsid w:val="00736A60"/>
    <w:rsid w:val="00742EFC"/>
    <w:rsid w:val="00744BC4"/>
    <w:rsid w:val="00745558"/>
    <w:rsid w:val="007457AF"/>
    <w:rsid w:val="00750B6C"/>
    <w:rsid w:val="007544F9"/>
    <w:rsid w:val="00755D9B"/>
    <w:rsid w:val="00761219"/>
    <w:rsid w:val="00764B35"/>
    <w:rsid w:val="00771AC5"/>
    <w:rsid w:val="007721D3"/>
    <w:rsid w:val="00773B7E"/>
    <w:rsid w:val="00780112"/>
    <w:rsid w:val="00782712"/>
    <w:rsid w:val="00783D99"/>
    <w:rsid w:val="00784AE4"/>
    <w:rsid w:val="007857D1"/>
    <w:rsid w:val="007870C9"/>
    <w:rsid w:val="007A35A8"/>
    <w:rsid w:val="007A3973"/>
    <w:rsid w:val="007A459D"/>
    <w:rsid w:val="007B3746"/>
    <w:rsid w:val="007C252B"/>
    <w:rsid w:val="007C5294"/>
    <w:rsid w:val="007C6A84"/>
    <w:rsid w:val="007D4BC3"/>
    <w:rsid w:val="007D533D"/>
    <w:rsid w:val="007E0296"/>
    <w:rsid w:val="007F21B8"/>
    <w:rsid w:val="007F4D08"/>
    <w:rsid w:val="007F5211"/>
    <w:rsid w:val="007F6765"/>
    <w:rsid w:val="007F7F4C"/>
    <w:rsid w:val="007F7F9B"/>
    <w:rsid w:val="008012A8"/>
    <w:rsid w:val="008019A3"/>
    <w:rsid w:val="0080388A"/>
    <w:rsid w:val="008064A3"/>
    <w:rsid w:val="00820B77"/>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62D98"/>
    <w:rsid w:val="00864DC9"/>
    <w:rsid w:val="00867480"/>
    <w:rsid w:val="00867763"/>
    <w:rsid w:val="0087263B"/>
    <w:rsid w:val="00876AC2"/>
    <w:rsid w:val="0088297F"/>
    <w:rsid w:val="00882D41"/>
    <w:rsid w:val="008854DD"/>
    <w:rsid w:val="0088675E"/>
    <w:rsid w:val="008937D3"/>
    <w:rsid w:val="00895290"/>
    <w:rsid w:val="008A5E4F"/>
    <w:rsid w:val="008A67CF"/>
    <w:rsid w:val="008B1273"/>
    <w:rsid w:val="008B1AF3"/>
    <w:rsid w:val="008B4255"/>
    <w:rsid w:val="008C097E"/>
    <w:rsid w:val="008C43DB"/>
    <w:rsid w:val="008C5136"/>
    <w:rsid w:val="008C643E"/>
    <w:rsid w:val="008D1DA3"/>
    <w:rsid w:val="008D3FD8"/>
    <w:rsid w:val="008D5803"/>
    <w:rsid w:val="008D6176"/>
    <w:rsid w:val="008D6A35"/>
    <w:rsid w:val="008D7C0D"/>
    <w:rsid w:val="008E14C1"/>
    <w:rsid w:val="008F231E"/>
    <w:rsid w:val="008F6A16"/>
    <w:rsid w:val="0091713B"/>
    <w:rsid w:val="00920723"/>
    <w:rsid w:val="0092112A"/>
    <w:rsid w:val="00921B77"/>
    <w:rsid w:val="00922473"/>
    <w:rsid w:val="0093171D"/>
    <w:rsid w:val="0093722E"/>
    <w:rsid w:val="0094127A"/>
    <w:rsid w:val="0094253D"/>
    <w:rsid w:val="00945D34"/>
    <w:rsid w:val="00953201"/>
    <w:rsid w:val="00953220"/>
    <w:rsid w:val="009641B9"/>
    <w:rsid w:val="0096699E"/>
    <w:rsid w:val="00970383"/>
    <w:rsid w:val="009713D2"/>
    <w:rsid w:val="00971C3E"/>
    <w:rsid w:val="00976F4A"/>
    <w:rsid w:val="009A467A"/>
    <w:rsid w:val="009A574C"/>
    <w:rsid w:val="009B2E51"/>
    <w:rsid w:val="009C1FFC"/>
    <w:rsid w:val="009C7A85"/>
    <w:rsid w:val="009D3C79"/>
    <w:rsid w:val="009D3E31"/>
    <w:rsid w:val="009D799D"/>
    <w:rsid w:val="009E35EE"/>
    <w:rsid w:val="009E4B6B"/>
    <w:rsid w:val="009E6531"/>
    <w:rsid w:val="009F23BF"/>
    <w:rsid w:val="009F2556"/>
    <w:rsid w:val="009F4494"/>
    <w:rsid w:val="009F5117"/>
    <w:rsid w:val="009F5C53"/>
    <w:rsid w:val="009F7054"/>
    <w:rsid w:val="00A056E8"/>
    <w:rsid w:val="00A11D93"/>
    <w:rsid w:val="00A14D3B"/>
    <w:rsid w:val="00A213F4"/>
    <w:rsid w:val="00A42F27"/>
    <w:rsid w:val="00A43EB2"/>
    <w:rsid w:val="00A50816"/>
    <w:rsid w:val="00A62E5B"/>
    <w:rsid w:val="00A65D87"/>
    <w:rsid w:val="00A671F8"/>
    <w:rsid w:val="00A73106"/>
    <w:rsid w:val="00A80BCC"/>
    <w:rsid w:val="00A81A92"/>
    <w:rsid w:val="00A836DE"/>
    <w:rsid w:val="00A854AA"/>
    <w:rsid w:val="00A85B15"/>
    <w:rsid w:val="00A85D08"/>
    <w:rsid w:val="00A9003F"/>
    <w:rsid w:val="00A926A1"/>
    <w:rsid w:val="00A92979"/>
    <w:rsid w:val="00A9328C"/>
    <w:rsid w:val="00A947FC"/>
    <w:rsid w:val="00AA7A2B"/>
    <w:rsid w:val="00AB5693"/>
    <w:rsid w:val="00AB7E14"/>
    <w:rsid w:val="00AD5E4D"/>
    <w:rsid w:val="00AD7642"/>
    <w:rsid w:val="00AE3142"/>
    <w:rsid w:val="00AE4D64"/>
    <w:rsid w:val="00AF2616"/>
    <w:rsid w:val="00AF5FFD"/>
    <w:rsid w:val="00AF61B2"/>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7158"/>
    <w:rsid w:val="00B73A7C"/>
    <w:rsid w:val="00B7605B"/>
    <w:rsid w:val="00B83B9C"/>
    <w:rsid w:val="00B90EFF"/>
    <w:rsid w:val="00B91C4A"/>
    <w:rsid w:val="00BA0E71"/>
    <w:rsid w:val="00BA135E"/>
    <w:rsid w:val="00BA2C69"/>
    <w:rsid w:val="00BA4FDB"/>
    <w:rsid w:val="00BB478C"/>
    <w:rsid w:val="00BC18BF"/>
    <w:rsid w:val="00BD4053"/>
    <w:rsid w:val="00BE7DF3"/>
    <w:rsid w:val="00BF24C7"/>
    <w:rsid w:val="00BF3258"/>
    <w:rsid w:val="00C02463"/>
    <w:rsid w:val="00C04B91"/>
    <w:rsid w:val="00C13BBD"/>
    <w:rsid w:val="00C16696"/>
    <w:rsid w:val="00C22828"/>
    <w:rsid w:val="00C235B7"/>
    <w:rsid w:val="00C24125"/>
    <w:rsid w:val="00C30782"/>
    <w:rsid w:val="00C3146E"/>
    <w:rsid w:val="00C328C1"/>
    <w:rsid w:val="00C36280"/>
    <w:rsid w:val="00C549E7"/>
    <w:rsid w:val="00C61EB7"/>
    <w:rsid w:val="00C622A0"/>
    <w:rsid w:val="00C705D2"/>
    <w:rsid w:val="00C70975"/>
    <w:rsid w:val="00C7753D"/>
    <w:rsid w:val="00C83C1C"/>
    <w:rsid w:val="00C8541C"/>
    <w:rsid w:val="00C85E60"/>
    <w:rsid w:val="00CA4487"/>
    <w:rsid w:val="00CA5967"/>
    <w:rsid w:val="00CB4356"/>
    <w:rsid w:val="00CB659E"/>
    <w:rsid w:val="00CC1768"/>
    <w:rsid w:val="00CC282E"/>
    <w:rsid w:val="00CD13E5"/>
    <w:rsid w:val="00CD4A85"/>
    <w:rsid w:val="00CD763F"/>
    <w:rsid w:val="00CE2948"/>
    <w:rsid w:val="00CE4D99"/>
    <w:rsid w:val="00CE4E90"/>
    <w:rsid w:val="00CF0A70"/>
    <w:rsid w:val="00CF69E9"/>
    <w:rsid w:val="00D15DA4"/>
    <w:rsid w:val="00D16AA1"/>
    <w:rsid w:val="00D35CDC"/>
    <w:rsid w:val="00D4321B"/>
    <w:rsid w:val="00D46A0D"/>
    <w:rsid w:val="00D57689"/>
    <w:rsid w:val="00D579E4"/>
    <w:rsid w:val="00D631FF"/>
    <w:rsid w:val="00D710CF"/>
    <w:rsid w:val="00D773B9"/>
    <w:rsid w:val="00D77C7C"/>
    <w:rsid w:val="00D81C4E"/>
    <w:rsid w:val="00D948F4"/>
    <w:rsid w:val="00DA198B"/>
    <w:rsid w:val="00DA4C74"/>
    <w:rsid w:val="00DB1425"/>
    <w:rsid w:val="00DB3AA8"/>
    <w:rsid w:val="00DB6316"/>
    <w:rsid w:val="00DC272C"/>
    <w:rsid w:val="00DC38CE"/>
    <w:rsid w:val="00DC7AE0"/>
    <w:rsid w:val="00DD17A5"/>
    <w:rsid w:val="00DD2073"/>
    <w:rsid w:val="00DD51C6"/>
    <w:rsid w:val="00DD5841"/>
    <w:rsid w:val="00DD7E3D"/>
    <w:rsid w:val="00DE3644"/>
    <w:rsid w:val="00E12513"/>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B68"/>
    <w:rsid w:val="00E66CF3"/>
    <w:rsid w:val="00E67419"/>
    <w:rsid w:val="00E675FA"/>
    <w:rsid w:val="00E81461"/>
    <w:rsid w:val="00E8180B"/>
    <w:rsid w:val="00E83DDF"/>
    <w:rsid w:val="00E87CB9"/>
    <w:rsid w:val="00E94693"/>
    <w:rsid w:val="00E96C35"/>
    <w:rsid w:val="00EA244C"/>
    <w:rsid w:val="00EA426F"/>
    <w:rsid w:val="00EB29FF"/>
    <w:rsid w:val="00EC2A45"/>
    <w:rsid w:val="00EC70CF"/>
    <w:rsid w:val="00ED1610"/>
    <w:rsid w:val="00ED3A54"/>
    <w:rsid w:val="00ED5369"/>
    <w:rsid w:val="00ED78B0"/>
    <w:rsid w:val="00EE13A5"/>
    <w:rsid w:val="00EE20A6"/>
    <w:rsid w:val="00EE4088"/>
    <w:rsid w:val="00EE77DB"/>
    <w:rsid w:val="00EF5924"/>
    <w:rsid w:val="00EF76E9"/>
    <w:rsid w:val="00F005ED"/>
    <w:rsid w:val="00F00A0F"/>
    <w:rsid w:val="00F1585E"/>
    <w:rsid w:val="00F15FF4"/>
    <w:rsid w:val="00F166AF"/>
    <w:rsid w:val="00F20289"/>
    <w:rsid w:val="00F22B06"/>
    <w:rsid w:val="00F235CD"/>
    <w:rsid w:val="00F241D0"/>
    <w:rsid w:val="00F26BF0"/>
    <w:rsid w:val="00F27763"/>
    <w:rsid w:val="00F3287D"/>
    <w:rsid w:val="00F3521A"/>
    <w:rsid w:val="00F37A6B"/>
    <w:rsid w:val="00F43A8F"/>
    <w:rsid w:val="00F45F4E"/>
    <w:rsid w:val="00F5027F"/>
    <w:rsid w:val="00F5209E"/>
    <w:rsid w:val="00F536BD"/>
    <w:rsid w:val="00F57CFB"/>
    <w:rsid w:val="00F64627"/>
    <w:rsid w:val="00F64D73"/>
    <w:rsid w:val="00F65F73"/>
    <w:rsid w:val="00F70DE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E45E6"/>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paragraph">
    <w:name w:val="paragraph"/>
    <w:basedOn w:val="Normal"/>
    <w:rsid w:val="009425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7712581">
      <w:bodyDiv w:val="1"/>
      <w:marLeft w:val="0"/>
      <w:marRight w:val="0"/>
      <w:marTop w:val="0"/>
      <w:marBottom w:val="0"/>
      <w:divBdr>
        <w:top w:val="none" w:sz="0" w:space="0" w:color="auto"/>
        <w:left w:val="none" w:sz="0" w:space="0" w:color="auto"/>
        <w:bottom w:val="none" w:sz="0" w:space="0" w:color="auto"/>
        <w:right w:val="none" w:sz="0" w:space="0" w:color="auto"/>
      </w:divBdr>
      <w:divsChild>
        <w:div w:id="98793738">
          <w:marLeft w:val="0"/>
          <w:marRight w:val="0"/>
          <w:marTop w:val="0"/>
          <w:marBottom w:val="0"/>
          <w:divBdr>
            <w:top w:val="none" w:sz="0" w:space="0" w:color="auto"/>
            <w:left w:val="none" w:sz="0" w:space="0" w:color="auto"/>
            <w:bottom w:val="none" w:sz="0" w:space="0" w:color="auto"/>
            <w:right w:val="none" w:sz="0" w:space="0" w:color="auto"/>
          </w:divBdr>
        </w:div>
        <w:div w:id="720791066">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68011553">
      <w:bodyDiv w:val="1"/>
      <w:marLeft w:val="0"/>
      <w:marRight w:val="0"/>
      <w:marTop w:val="0"/>
      <w:marBottom w:val="0"/>
      <w:divBdr>
        <w:top w:val="none" w:sz="0" w:space="0" w:color="auto"/>
        <w:left w:val="none" w:sz="0" w:space="0" w:color="auto"/>
        <w:bottom w:val="none" w:sz="0" w:space="0" w:color="auto"/>
        <w:right w:val="none" w:sz="0" w:space="0" w:color="auto"/>
      </w:divBdr>
      <w:divsChild>
        <w:div w:id="767696387">
          <w:marLeft w:val="0"/>
          <w:marRight w:val="0"/>
          <w:marTop w:val="0"/>
          <w:marBottom w:val="0"/>
          <w:divBdr>
            <w:top w:val="none" w:sz="0" w:space="0" w:color="auto"/>
            <w:left w:val="none" w:sz="0" w:space="0" w:color="auto"/>
            <w:bottom w:val="none" w:sz="0" w:space="0" w:color="auto"/>
            <w:right w:val="none" w:sz="0" w:space="0" w:color="auto"/>
          </w:divBdr>
        </w:div>
        <w:div w:id="1964918397">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BE3D-ED20-4BFE-A983-519C5D74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4</cp:revision>
  <cp:lastPrinted>2019-12-10T20:45:00Z</cp:lastPrinted>
  <dcterms:created xsi:type="dcterms:W3CDTF">2020-01-08T21:45:00Z</dcterms:created>
  <dcterms:modified xsi:type="dcterms:W3CDTF">2020-01-08T22:44:00Z</dcterms:modified>
</cp:coreProperties>
</file>