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00E363F2">
        <w:trPr>
          <w:trHeight w:val="395"/>
          <w:jc w:val="center"/>
        </w:trPr>
        <w:tc>
          <w:tcPr>
            <w:tcW w:w="355" w:type="dxa"/>
            <w:vAlign w:val="center"/>
          </w:tcPr>
          <w:p w14:paraId="4185D932" w14:textId="55A654E1"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4A70D582"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65BBBC82"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270" w:type="dxa"/>
            <w:vAlign w:val="center"/>
          </w:tcPr>
          <w:p w14:paraId="51C672A6" w14:textId="70BB0371" w:rsidR="00454507" w:rsidRPr="00F90E4E" w:rsidRDefault="0095265C" w:rsidP="00454507">
            <w:pPr>
              <w:rPr>
                <w:rFonts w:ascii="Verdana" w:hAnsi="Verdana" w:cs="Arial"/>
                <w:b/>
                <w:bCs/>
                <w:sz w:val="16"/>
                <w:szCs w:val="16"/>
              </w:rPr>
            </w:pPr>
            <w:r>
              <w:rPr>
                <w:rFonts w:ascii="Verdana" w:hAnsi="Verdana" w:cs="Arial"/>
                <w:b/>
                <w:bCs/>
                <w:sz w:val="16"/>
                <w:szCs w:val="16"/>
              </w:rPr>
              <w:t>X</w:t>
            </w: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3706F9AB"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B83B9C">
        <w:trPr>
          <w:trHeight w:val="467"/>
          <w:jc w:val="center"/>
        </w:trPr>
        <w:tc>
          <w:tcPr>
            <w:tcW w:w="355" w:type="dxa"/>
            <w:vAlign w:val="center"/>
          </w:tcPr>
          <w:p w14:paraId="714D4A36" w14:textId="69130C6F"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73060EC0"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6E3BB0B9"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5180032F"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21A4D590" w:rsidR="00454507"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B83B9C">
        <w:trPr>
          <w:trHeight w:val="440"/>
          <w:jc w:val="center"/>
        </w:trPr>
        <w:tc>
          <w:tcPr>
            <w:tcW w:w="355" w:type="dxa"/>
            <w:vAlign w:val="center"/>
          </w:tcPr>
          <w:p w14:paraId="40A0D500" w14:textId="1AD0F038" w:rsidR="00B83B9C"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5C9C4B6A" w:rsidR="00B83B9C"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02F79FD3" w:rsidR="00B83B9C" w:rsidRPr="00F90E4E" w:rsidRDefault="0095265C"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27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73E5C6C6"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5C04A7B8" w:rsidR="00DA4C74" w:rsidRPr="00823B5D" w:rsidRDefault="003B2FB1"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F2158">
                              <w:rPr>
                                <w:b/>
                                <w:color w:val="auto"/>
                                <w:sz w:val="28"/>
                                <w:szCs w:val="28"/>
                              </w:rPr>
                              <w:t>November 26</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5C04A7B8" w:rsidR="00DA4C74" w:rsidRPr="00823B5D" w:rsidRDefault="003B2FB1"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F2158">
                        <w:rPr>
                          <w:b/>
                          <w:color w:val="auto"/>
                          <w:sz w:val="28"/>
                          <w:szCs w:val="28"/>
                        </w:rPr>
                        <w:t>November 26</w:t>
                      </w:r>
                      <w:bookmarkStart w:id="1" w:name="_GoBack"/>
                      <w:bookmarkEnd w:id="1"/>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21C271C9" w:rsidR="0080388A" w:rsidRDefault="00CF69E9" w:rsidP="000C4A7B">
            <w:pPr>
              <w:rPr>
                <w:rFonts w:asciiTheme="minorHAnsi" w:hAnsiTheme="minorHAnsi"/>
              </w:rPr>
            </w:pPr>
            <w:r>
              <w:rPr>
                <w:rFonts w:asciiTheme="minorHAnsi" w:hAnsiTheme="minorHAnsi"/>
              </w:rPr>
              <w:t xml:space="preserve">Approval of DLC minutes:  </w:t>
            </w:r>
            <w:r w:rsidR="000C4A7B">
              <w:rPr>
                <w:rFonts w:asciiTheme="minorHAnsi" w:hAnsiTheme="minorHAnsi"/>
              </w:rPr>
              <w:t>11/12</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1DAF2F23" w:rsidR="0080388A" w:rsidRPr="00672500" w:rsidRDefault="0095265C">
            <w:pPr>
              <w:rPr>
                <w:rFonts w:asciiTheme="minorHAnsi" w:hAnsiTheme="minorHAnsi"/>
                <w:sz w:val="22"/>
                <w:szCs w:val="22"/>
              </w:rPr>
            </w:pPr>
            <w:r>
              <w:rPr>
                <w:rFonts w:asciiTheme="minorHAnsi" w:hAnsiTheme="minorHAnsi"/>
                <w:sz w:val="22"/>
                <w:szCs w:val="22"/>
              </w:rPr>
              <w:t>Approved with corrections</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51763F7E" w:rsidR="00C24125" w:rsidRPr="008374A9" w:rsidRDefault="00D16AA1" w:rsidP="00D948F4">
            <w:pPr>
              <w:rPr>
                <w:rFonts w:asciiTheme="minorHAnsi" w:hAnsiTheme="minorHAnsi"/>
                <w:sz w:val="22"/>
                <w:szCs w:val="22"/>
              </w:rPr>
            </w:pPr>
            <w:r>
              <w:rPr>
                <w:rFonts w:asciiTheme="minorHAnsi" w:hAnsiTheme="minorHAnsi"/>
                <w:sz w:val="22"/>
                <w:szCs w:val="22"/>
              </w:rPr>
              <w:t xml:space="preserve">Minutes from 10/8 accepted </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6FFD25FD" w14:textId="7CD32B68" w:rsidR="008C097E" w:rsidRPr="00537D1F" w:rsidRDefault="0095265C" w:rsidP="0095265C">
            <w:pPr>
              <w:pStyle w:val="ListParagraph"/>
              <w:spacing w:after="160" w:line="259" w:lineRule="auto"/>
              <w:ind w:left="0"/>
              <w:rPr>
                <w:rFonts w:asciiTheme="minorHAnsi" w:hAnsiTheme="minorHAnsi"/>
                <w:sz w:val="20"/>
                <w:szCs w:val="20"/>
              </w:rPr>
            </w:pPr>
            <w:r>
              <w:rPr>
                <w:rFonts w:asciiTheme="minorHAnsi" w:hAnsiTheme="minorHAnsi"/>
                <w:sz w:val="20"/>
                <w:szCs w:val="20"/>
              </w:rPr>
              <w:t>Did not meet</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5A229B6C" w:rsidR="004076A4" w:rsidRPr="00672500" w:rsidRDefault="0095265C" w:rsidP="004C08A0">
            <w:pPr>
              <w:rPr>
                <w:rFonts w:asciiTheme="minorHAnsi" w:hAnsiTheme="minorHAnsi"/>
                <w:sz w:val="22"/>
                <w:szCs w:val="22"/>
              </w:rPr>
            </w:pPr>
            <w:r>
              <w:rPr>
                <w:rFonts w:asciiTheme="minorHAnsi" w:hAnsiTheme="minorHAnsi"/>
                <w:sz w:val="22"/>
                <w:szCs w:val="22"/>
              </w:rPr>
              <w:t>Did not meet</w:t>
            </w:r>
          </w:p>
        </w:tc>
      </w:tr>
      <w:tr w:rsidR="00922473" w14:paraId="2106A9EC" w14:textId="77777777" w:rsidTr="00FA4891">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192B8C00" w14:textId="6906AFC1" w:rsidR="000A2600" w:rsidRDefault="00670CE6" w:rsidP="00670CE6">
            <w:pPr>
              <w:pStyle w:val="ListParagraph"/>
              <w:numPr>
                <w:ilvl w:val="0"/>
                <w:numId w:val="40"/>
              </w:numPr>
              <w:rPr>
                <w:rFonts w:asciiTheme="minorHAnsi" w:hAnsiTheme="minorHAnsi"/>
                <w:sz w:val="22"/>
                <w:szCs w:val="22"/>
              </w:rPr>
            </w:pPr>
            <w:r>
              <w:rPr>
                <w:rFonts w:asciiTheme="minorHAnsi" w:hAnsiTheme="minorHAnsi"/>
                <w:sz w:val="22"/>
                <w:szCs w:val="22"/>
              </w:rPr>
              <w:t>Online self-paced SPOT recertification Regulations Update training on track to debut in December.</w:t>
            </w:r>
            <w:r w:rsidR="00BE4999">
              <w:rPr>
                <w:rFonts w:asciiTheme="minorHAnsi" w:hAnsiTheme="minorHAnsi"/>
                <w:sz w:val="22"/>
                <w:szCs w:val="22"/>
              </w:rPr>
              <w:t xml:space="preserve">  FCLT continuing to create other online workshops</w:t>
            </w:r>
          </w:p>
          <w:p w14:paraId="40916910" w14:textId="09B412E3" w:rsidR="00BE4999" w:rsidRDefault="00BE4999" w:rsidP="00670CE6">
            <w:pPr>
              <w:pStyle w:val="ListParagraph"/>
              <w:numPr>
                <w:ilvl w:val="0"/>
                <w:numId w:val="40"/>
              </w:numPr>
              <w:rPr>
                <w:rFonts w:asciiTheme="minorHAnsi" w:hAnsiTheme="minorHAnsi"/>
                <w:sz w:val="22"/>
                <w:szCs w:val="22"/>
              </w:rPr>
            </w:pPr>
            <w:r>
              <w:rPr>
                <w:rFonts w:asciiTheme="minorHAnsi" w:hAnsiTheme="minorHAnsi"/>
                <w:sz w:val="22"/>
                <w:szCs w:val="22"/>
              </w:rPr>
              <w:t>From faculty and department chair feedback, FCLT is planning four in-person SPOT recertification intensives:  three back-to-back workshops plus the Regulations Update.  To be offered January 17, 23, 31, and Feb 19.</w:t>
            </w:r>
          </w:p>
          <w:p w14:paraId="33E81B3E" w14:textId="77777777" w:rsidR="00BE4999" w:rsidRDefault="00670CE6" w:rsidP="00BE4999">
            <w:pPr>
              <w:pStyle w:val="ListParagraph"/>
              <w:numPr>
                <w:ilvl w:val="0"/>
                <w:numId w:val="40"/>
              </w:numPr>
              <w:rPr>
                <w:rFonts w:asciiTheme="minorHAnsi" w:hAnsiTheme="minorHAnsi"/>
                <w:sz w:val="22"/>
                <w:szCs w:val="22"/>
              </w:rPr>
            </w:pPr>
            <w:r>
              <w:rPr>
                <w:rFonts w:asciiTheme="minorHAnsi" w:hAnsiTheme="minorHAnsi"/>
                <w:sz w:val="22"/>
                <w:szCs w:val="22"/>
              </w:rPr>
              <w:t xml:space="preserve">POD Connect </w:t>
            </w:r>
            <w:r w:rsidR="00BE4999">
              <w:rPr>
                <w:rFonts w:asciiTheme="minorHAnsi" w:hAnsiTheme="minorHAnsi"/>
                <w:sz w:val="22"/>
                <w:szCs w:val="22"/>
              </w:rPr>
              <w:t>has debuted</w:t>
            </w:r>
            <w:r>
              <w:rPr>
                <w:rFonts w:asciiTheme="minorHAnsi" w:hAnsiTheme="minorHAnsi"/>
                <w:sz w:val="22"/>
                <w:szCs w:val="22"/>
              </w:rPr>
              <w:t>.  FCLT meeting with POD on December 3 to discuss changes</w:t>
            </w:r>
            <w:r w:rsidR="00BE4999">
              <w:rPr>
                <w:rFonts w:asciiTheme="minorHAnsi" w:hAnsiTheme="minorHAnsi"/>
                <w:sz w:val="22"/>
                <w:szCs w:val="22"/>
              </w:rPr>
              <w:t xml:space="preserve"> and training</w:t>
            </w:r>
            <w:r>
              <w:rPr>
                <w:rFonts w:asciiTheme="minorHAnsi" w:hAnsiTheme="minorHAnsi"/>
                <w:sz w:val="22"/>
                <w:szCs w:val="22"/>
              </w:rPr>
              <w:t>.</w:t>
            </w:r>
          </w:p>
          <w:p w14:paraId="0D0D6444" w14:textId="77777777" w:rsidR="00670CE6" w:rsidRDefault="00BE4999" w:rsidP="00BE4999">
            <w:pPr>
              <w:pStyle w:val="ListParagraph"/>
              <w:numPr>
                <w:ilvl w:val="0"/>
                <w:numId w:val="40"/>
              </w:numPr>
              <w:rPr>
                <w:rFonts w:asciiTheme="minorHAnsi" w:hAnsiTheme="minorHAnsi"/>
                <w:sz w:val="22"/>
                <w:szCs w:val="22"/>
              </w:rPr>
            </w:pPr>
            <w:r>
              <w:rPr>
                <w:rFonts w:asciiTheme="minorHAnsi" w:hAnsiTheme="minorHAnsi"/>
                <w:sz w:val="22"/>
                <w:szCs w:val="22"/>
              </w:rPr>
              <w:t>Multiple kudos to FCLT from faculty and divisions.</w:t>
            </w:r>
            <w:r w:rsidR="00670CE6">
              <w:rPr>
                <w:rFonts w:asciiTheme="minorHAnsi" w:hAnsiTheme="minorHAnsi"/>
                <w:sz w:val="22"/>
                <w:szCs w:val="22"/>
              </w:rPr>
              <w:t xml:space="preserve">  </w:t>
            </w:r>
          </w:p>
          <w:p w14:paraId="0FD2B216" w14:textId="07482F91" w:rsidR="00F10032" w:rsidRPr="00670CE6" w:rsidRDefault="00F10032" w:rsidP="00F10032">
            <w:pPr>
              <w:pStyle w:val="ListParagraph"/>
              <w:ind w:left="360"/>
              <w:rPr>
                <w:rFonts w:asciiTheme="minorHAnsi" w:hAnsiTheme="minorHAnsi"/>
                <w:sz w:val="22"/>
                <w:szCs w:val="22"/>
              </w:rPr>
            </w:pPr>
            <w:r w:rsidRPr="00F10032">
              <w:rPr>
                <w:rFonts w:asciiTheme="minorHAnsi" w:hAnsiTheme="minorHAnsi"/>
                <w:sz w:val="22"/>
                <w:szCs w:val="22"/>
                <w:highlight w:val="yellow"/>
              </w:rPr>
              <w:t>IB9, IIIC, IIIA14</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2CC32670" w:rsidR="00FC4E3D" w:rsidRPr="00672500" w:rsidRDefault="00494540">
            <w:pPr>
              <w:rPr>
                <w:rFonts w:asciiTheme="minorHAnsi" w:hAnsiTheme="minorHAnsi"/>
                <w:sz w:val="22"/>
                <w:szCs w:val="22"/>
              </w:rPr>
            </w:pPr>
            <w:r>
              <w:rPr>
                <w:rFonts w:asciiTheme="minorHAnsi" w:hAnsiTheme="minorHAnsi"/>
                <w:sz w:val="22"/>
                <w:szCs w:val="22"/>
              </w:rPr>
              <w:t xml:space="preserve"> </w:t>
            </w:r>
            <w:r w:rsidR="0095265C">
              <w:rPr>
                <w:rFonts w:asciiTheme="minorHAnsi" w:hAnsiTheme="minorHAnsi"/>
                <w:sz w:val="22"/>
                <w:szCs w:val="22"/>
              </w:rPr>
              <w:t>No student report</w:t>
            </w: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lastRenderedPageBreak/>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21F9DA0D" w14:textId="77777777" w:rsidR="000C4A7B" w:rsidRDefault="000C4A7B" w:rsidP="00BA2C69">
            <w:pPr>
              <w:rPr>
                <w:rFonts w:asciiTheme="minorHAnsi" w:hAnsiTheme="minorHAnsi"/>
              </w:rPr>
            </w:pPr>
            <w:r>
              <w:rPr>
                <w:rFonts w:asciiTheme="minorHAnsi" w:hAnsiTheme="minorHAnsi"/>
              </w:rPr>
              <w:t>CISP21</w:t>
            </w:r>
          </w:p>
          <w:p w14:paraId="032789A0" w14:textId="1024CCF3" w:rsidR="00F166AF" w:rsidRPr="008019A3" w:rsidRDefault="00F166AF" w:rsidP="00BA2C69">
            <w:pPr>
              <w:rPr>
                <w:rFonts w:asciiTheme="minorHAnsi" w:hAnsiTheme="minorHAnsi"/>
              </w:rPr>
            </w:pPr>
            <w:r>
              <w:rPr>
                <w:rFonts w:asciiTheme="minorHAnsi" w:hAnsiTheme="minorHAnsi"/>
              </w:rPr>
              <w:t>HRM 91</w:t>
            </w:r>
          </w:p>
        </w:tc>
        <w:tc>
          <w:tcPr>
            <w:tcW w:w="6655" w:type="dxa"/>
          </w:tcPr>
          <w:p w14:paraId="1B1B3640" w14:textId="77777777" w:rsidR="00E55C72" w:rsidRDefault="00141CD3" w:rsidP="000E7875">
            <w:pPr>
              <w:pStyle w:val="ListParagraph"/>
              <w:ind w:left="0"/>
              <w:rPr>
                <w:rFonts w:asciiTheme="minorHAnsi" w:hAnsiTheme="minorHAnsi"/>
                <w:sz w:val="22"/>
                <w:szCs w:val="22"/>
              </w:rPr>
            </w:pPr>
            <w:r>
              <w:rPr>
                <w:rFonts w:asciiTheme="minorHAnsi" w:hAnsiTheme="minorHAnsi"/>
                <w:sz w:val="22"/>
                <w:szCs w:val="22"/>
              </w:rPr>
              <w:t>Approved</w:t>
            </w:r>
          </w:p>
          <w:p w14:paraId="7694E038" w14:textId="77777777" w:rsidR="00141CD3" w:rsidRDefault="00141CD3" w:rsidP="00141CD3">
            <w:pPr>
              <w:pStyle w:val="ListParagraph"/>
              <w:ind w:left="0"/>
              <w:rPr>
                <w:rFonts w:asciiTheme="minorHAnsi" w:hAnsiTheme="minorHAnsi"/>
                <w:sz w:val="22"/>
                <w:szCs w:val="22"/>
              </w:rPr>
            </w:pPr>
            <w:r>
              <w:rPr>
                <w:rFonts w:asciiTheme="minorHAnsi" w:hAnsiTheme="minorHAnsi"/>
                <w:sz w:val="22"/>
                <w:szCs w:val="22"/>
              </w:rPr>
              <w:t xml:space="preserve">Approved    </w:t>
            </w:r>
          </w:p>
          <w:p w14:paraId="46EEA206" w14:textId="20A1972A" w:rsidR="00F10032" w:rsidRPr="00672500" w:rsidRDefault="00F10032" w:rsidP="00141CD3">
            <w:pPr>
              <w:pStyle w:val="ListParagraph"/>
              <w:ind w:left="0"/>
              <w:rPr>
                <w:rFonts w:asciiTheme="minorHAnsi" w:hAnsiTheme="minorHAnsi"/>
                <w:sz w:val="22"/>
                <w:szCs w:val="22"/>
              </w:rPr>
            </w:pPr>
            <w:r w:rsidRPr="00F10032">
              <w:rPr>
                <w:rFonts w:asciiTheme="minorHAnsi" w:hAnsiTheme="minorHAnsi"/>
                <w:sz w:val="22"/>
                <w:szCs w:val="22"/>
                <w:highlight w:val="yellow"/>
              </w:rPr>
              <w:t>IIA, IIIC</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864DC9" w14:paraId="788784C2" w14:textId="77777777" w:rsidTr="00FA4891">
        <w:tc>
          <w:tcPr>
            <w:tcW w:w="4135" w:type="dxa"/>
          </w:tcPr>
          <w:p w14:paraId="30E2ECB9" w14:textId="001C039A" w:rsidR="00864DC9" w:rsidRDefault="00864DC9" w:rsidP="007457AF">
            <w:pPr>
              <w:rPr>
                <w:rFonts w:asciiTheme="minorHAnsi" w:hAnsiTheme="minorHAnsi"/>
              </w:rPr>
            </w:pPr>
            <w:r>
              <w:rPr>
                <w:rFonts w:asciiTheme="minorHAnsi" w:hAnsiTheme="minorHAnsi"/>
              </w:rPr>
              <w:t xml:space="preserve">CVC OEI </w:t>
            </w:r>
            <w:r w:rsidR="00141CD3">
              <w:rPr>
                <w:rFonts w:asciiTheme="minorHAnsi" w:hAnsiTheme="minorHAnsi"/>
              </w:rPr>
              <w:t xml:space="preserve">(California Virtual Campus Online Education Initiative) </w:t>
            </w:r>
            <w:r>
              <w:rPr>
                <w:rFonts w:asciiTheme="minorHAnsi" w:hAnsiTheme="minorHAnsi"/>
              </w:rPr>
              <w:t>Resolution Update</w:t>
            </w:r>
          </w:p>
        </w:tc>
        <w:tc>
          <w:tcPr>
            <w:tcW w:w="6655" w:type="dxa"/>
          </w:tcPr>
          <w:p w14:paraId="5928FB6E" w14:textId="77777777" w:rsidR="00864DC9" w:rsidRDefault="00864DC9" w:rsidP="0068677B">
            <w:pPr>
              <w:rPr>
                <w:rFonts w:asciiTheme="minorHAnsi" w:hAnsiTheme="minorHAnsi"/>
                <w:sz w:val="22"/>
                <w:szCs w:val="22"/>
              </w:rPr>
            </w:pPr>
            <w:r>
              <w:rPr>
                <w:rFonts w:asciiTheme="minorHAnsi" w:hAnsiTheme="minorHAnsi"/>
                <w:sz w:val="22"/>
                <w:szCs w:val="22"/>
              </w:rPr>
              <w:t>The resolution passed Senate Exec and will be moving to Academic Senate Rep Council</w:t>
            </w:r>
            <w:r w:rsidR="00141CD3">
              <w:rPr>
                <w:rFonts w:asciiTheme="minorHAnsi" w:hAnsiTheme="minorHAnsi"/>
                <w:sz w:val="22"/>
                <w:szCs w:val="22"/>
              </w:rPr>
              <w:t>.</w:t>
            </w:r>
          </w:p>
          <w:p w14:paraId="0CA03114" w14:textId="41389F07" w:rsidR="00F10032" w:rsidRDefault="00F10032" w:rsidP="0068677B">
            <w:pPr>
              <w:rPr>
                <w:rFonts w:asciiTheme="minorHAnsi" w:hAnsiTheme="minorHAnsi"/>
                <w:sz w:val="22"/>
                <w:szCs w:val="22"/>
              </w:rPr>
            </w:pPr>
            <w:r w:rsidRPr="00F10032">
              <w:rPr>
                <w:rFonts w:asciiTheme="minorHAnsi" w:hAnsiTheme="minorHAnsi"/>
                <w:sz w:val="22"/>
                <w:szCs w:val="22"/>
                <w:highlight w:val="yellow"/>
              </w:rPr>
              <w:t>IB9, IIA</w:t>
            </w:r>
          </w:p>
        </w:tc>
      </w:tr>
      <w:tr w:rsidR="00C705D2" w14:paraId="18CC5159" w14:textId="77777777" w:rsidTr="00FA4891">
        <w:tc>
          <w:tcPr>
            <w:tcW w:w="4135" w:type="dxa"/>
          </w:tcPr>
          <w:p w14:paraId="626918DE" w14:textId="65441665" w:rsidR="00C705D2" w:rsidRDefault="002F30C5" w:rsidP="00141CD3">
            <w:pPr>
              <w:rPr>
                <w:rFonts w:asciiTheme="minorHAnsi" w:hAnsiTheme="minorHAnsi"/>
              </w:rPr>
            </w:pPr>
            <w:r>
              <w:rPr>
                <w:rFonts w:asciiTheme="minorHAnsi" w:hAnsiTheme="minorHAnsi"/>
              </w:rPr>
              <w:t>CVC OEI Grant Update</w:t>
            </w:r>
            <w:r w:rsidR="00171FED">
              <w:rPr>
                <w:rFonts w:asciiTheme="minorHAnsi" w:hAnsiTheme="minorHAnsi"/>
              </w:rPr>
              <w:t xml:space="preserve"> – Improving Online CTE Pathways</w:t>
            </w:r>
          </w:p>
        </w:tc>
        <w:tc>
          <w:tcPr>
            <w:tcW w:w="6655" w:type="dxa"/>
          </w:tcPr>
          <w:p w14:paraId="3ADB7DCA" w14:textId="22F6A039" w:rsidR="0068677B" w:rsidRDefault="009F2556" w:rsidP="0068677B">
            <w:pPr>
              <w:rPr>
                <w:rFonts w:asciiTheme="minorHAnsi" w:hAnsiTheme="minorHAnsi"/>
                <w:sz w:val="22"/>
                <w:szCs w:val="22"/>
              </w:rPr>
            </w:pPr>
            <w:r w:rsidRPr="00171FED">
              <w:rPr>
                <w:rFonts w:asciiTheme="minorHAnsi" w:hAnsiTheme="minorHAnsi"/>
                <w:b/>
                <w:sz w:val="22"/>
                <w:szCs w:val="22"/>
              </w:rPr>
              <w:t>Oct 31</w:t>
            </w:r>
            <w:r w:rsidR="0068677B">
              <w:rPr>
                <w:rFonts w:asciiTheme="minorHAnsi" w:hAnsiTheme="minorHAnsi"/>
                <w:sz w:val="22"/>
                <w:szCs w:val="22"/>
              </w:rPr>
              <w:t>: Faculty who passed the POCR review course met to serve as mentors for the faculty</w:t>
            </w:r>
            <w:r>
              <w:rPr>
                <w:rFonts w:asciiTheme="minorHAnsi" w:hAnsiTheme="minorHAnsi"/>
                <w:sz w:val="22"/>
                <w:szCs w:val="22"/>
              </w:rPr>
              <w:t xml:space="preserve"> </w:t>
            </w:r>
            <w:r w:rsidR="0068677B">
              <w:rPr>
                <w:rFonts w:asciiTheme="minorHAnsi" w:hAnsiTheme="minorHAnsi"/>
                <w:sz w:val="22"/>
                <w:szCs w:val="22"/>
              </w:rPr>
              <w:t>interested in OEI Alignment</w:t>
            </w:r>
            <w:r>
              <w:rPr>
                <w:rFonts w:asciiTheme="minorHAnsi" w:hAnsiTheme="minorHAnsi"/>
                <w:sz w:val="22"/>
                <w:szCs w:val="22"/>
              </w:rPr>
              <w:t xml:space="preserve"> (the POCR club)</w:t>
            </w:r>
            <w:r w:rsidR="0068677B">
              <w:rPr>
                <w:rFonts w:asciiTheme="minorHAnsi" w:hAnsiTheme="minorHAnsi"/>
                <w:sz w:val="22"/>
                <w:szCs w:val="22"/>
              </w:rPr>
              <w:t>.  An invitation to the Alignment kickoff was sent Nov 7.</w:t>
            </w:r>
          </w:p>
          <w:p w14:paraId="1CD7ADF2" w14:textId="6D41DADB" w:rsidR="009F2556" w:rsidRDefault="009F2556" w:rsidP="0068677B">
            <w:pPr>
              <w:rPr>
                <w:rFonts w:asciiTheme="minorHAnsi" w:hAnsiTheme="minorHAnsi"/>
                <w:sz w:val="22"/>
                <w:szCs w:val="22"/>
              </w:rPr>
            </w:pPr>
            <w:r w:rsidRPr="00171FED">
              <w:rPr>
                <w:rFonts w:asciiTheme="minorHAnsi" w:hAnsiTheme="minorHAnsi"/>
                <w:b/>
                <w:sz w:val="22"/>
                <w:szCs w:val="22"/>
              </w:rPr>
              <w:t>Nov 18</w:t>
            </w:r>
            <w:r>
              <w:rPr>
                <w:rFonts w:asciiTheme="minorHAnsi" w:hAnsiTheme="minorHAnsi"/>
                <w:sz w:val="22"/>
                <w:szCs w:val="22"/>
              </w:rPr>
              <w:t>: OEI Advisory Board meeting.</w:t>
            </w:r>
            <w:r w:rsidR="00663C7D">
              <w:rPr>
                <w:rFonts w:asciiTheme="minorHAnsi" w:hAnsiTheme="minorHAnsi"/>
                <w:sz w:val="22"/>
                <w:szCs w:val="22"/>
              </w:rPr>
              <w:t xml:space="preserve">  </w:t>
            </w:r>
            <w:r w:rsidR="002B4575">
              <w:rPr>
                <w:rFonts w:asciiTheme="minorHAnsi" w:hAnsiTheme="minorHAnsi"/>
                <w:sz w:val="22"/>
                <w:szCs w:val="22"/>
              </w:rPr>
              <w:t xml:space="preserve">Student-focused webpage shown and discussed.  </w:t>
            </w:r>
            <w:r w:rsidR="00663C7D">
              <w:rPr>
                <w:rFonts w:asciiTheme="minorHAnsi" w:hAnsiTheme="minorHAnsi"/>
                <w:sz w:val="22"/>
                <w:szCs w:val="22"/>
              </w:rPr>
              <w:t xml:space="preserve">Faculty </w:t>
            </w:r>
            <w:r w:rsidR="002B4575">
              <w:rPr>
                <w:rFonts w:asciiTheme="minorHAnsi" w:hAnsiTheme="minorHAnsi"/>
                <w:sz w:val="22"/>
                <w:szCs w:val="22"/>
              </w:rPr>
              <w:t>explor</w:t>
            </w:r>
            <w:r w:rsidR="00663C7D">
              <w:rPr>
                <w:rFonts w:asciiTheme="minorHAnsi" w:hAnsiTheme="minorHAnsi"/>
                <w:sz w:val="22"/>
                <w:szCs w:val="22"/>
              </w:rPr>
              <w:t>ed role of Canvas-sadors, got an overview of EAB Navigation, discussed timing of Online Equity course, received overview of OER (42 proposals received, 2 OER mentors created rubric.  Faculty will be notified in December).</w:t>
            </w:r>
          </w:p>
          <w:p w14:paraId="409899B7" w14:textId="77777777" w:rsidR="00437055" w:rsidRDefault="009F2556" w:rsidP="00171FED">
            <w:pPr>
              <w:rPr>
                <w:rFonts w:asciiTheme="minorHAnsi" w:hAnsiTheme="minorHAnsi"/>
                <w:sz w:val="22"/>
                <w:szCs w:val="22"/>
              </w:rPr>
            </w:pPr>
            <w:r w:rsidRPr="00171FED">
              <w:rPr>
                <w:rFonts w:asciiTheme="minorHAnsi" w:hAnsiTheme="minorHAnsi"/>
                <w:b/>
                <w:sz w:val="22"/>
                <w:szCs w:val="22"/>
              </w:rPr>
              <w:t>Nov 19</w:t>
            </w:r>
            <w:r>
              <w:rPr>
                <w:rFonts w:asciiTheme="minorHAnsi" w:hAnsiTheme="minorHAnsi"/>
                <w:sz w:val="22"/>
                <w:szCs w:val="22"/>
              </w:rPr>
              <w:t xml:space="preserve">: OEI Alignment kickoff session was held. </w:t>
            </w:r>
            <w:r w:rsidR="0068677B">
              <w:rPr>
                <w:rFonts w:asciiTheme="minorHAnsi" w:hAnsiTheme="minorHAnsi"/>
                <w:sz w:val="22"/>
                <w:szCs w:val="22"/>
              </w:rPr>
              <w:t xml:space="preserve"> </w:t>
            </w:r>
            <w:r>
              <w:rPr>
                <w:rFonts w:asciiTheme="minorHAnsi" w:hAnsiTheme="minorHAnsi"/>
                <w:sz w:val="22"/>
                <w:szCs w:val="22"/>
              </w:rPr>
              <w:t>25</w:t>
            </w:r>
            <w:r w:rsidR="0068677B">
              <w:rPr>
                <w:rFonts w:asciiTheme="minorHAnsi" w:hAnsiTheme="minorHAnsi"/>
                <w:sz w:val="22"/>
                <w:szCs w:val="22"/>
              </w:rPr>
              <w:t xml:space="preserve"> </w:t>
            </w:r>
            <w:r>
              <w:rPr>
                <w:rFonts w:asciiTheme="minorHAnsi" w:hAnsiTheme="minorHAnsi"/>
                <w:sz w:val="22"/>
                <w:szCs w:val="22"/>
              </w:rPr>
              <w:t xml:space="preserve">SPOT-certified </w:t>
            </w:r>
            <w:r w:rsidR="0068677B">
              <w:rPr>
                <w:rFonts w:asciiTheme="minorHAnsi" w:hAnsiTheme="minorHAnsi"/>
                <w:sz w:val="22"/>
                <w:szCs w:val="22"/>
              </w:rPr>
              <w:t>faculty have signed up to indicate interest in OEI Alignment.</w:t>
            </w:r>
            <w:r>
              <w:rPr>
                <w:rFonts w:asciiTheme="minorHAnsi" w:hAnsiTheme="minorHAnsi"/>
                <w:sz w:val="22"/>
                <w:szCs w:val="22"/>
              </w:rPr>
              <w:t xml:space="preserve"> </w:t>
            </w:r>
          </w:p>
          <w:p w14:paraId="20862469" w14:textId="2BAC15BD" w:rsidR="00CE745E" w:rsidRDefault="00CE745E" w:rsidP="00171FED">
            <w:pPr>
              <w:rPr>
                <w:rFonts w:asciiTheme="minorHAnsi" w:hAnsiTheme="minorHAnsi"/>
                <w:sz w:val="22"/>
                <w:szCs w:val="22"/>
              </w:rPr>
            </w:pPr>
            <w:r w:rsidRPr="00CE745E">
              <w:rPr>
                <w:rFonts w:asciiTheme="minorHAnsi" w:hAnsiTheme="minorHAnsi"/>
                <w:b/>
                <w:sz w:val="22"/>
                <w:szCs w:val="22"/>
              </w:rPr>
              <w:t>Winter and Spring</w:t>
            </w:r>
            <w:r>
              <w:rPr>
                <w:rFonts w:asciiTheme="minorHAnsi" w:hAnsiTheme="minorHAnsi"/>
                <w:sz w:val="22"/>
                <w:szCs w:val="22"/>
              </w:rPr>
              <w:t>.  Will form faculty cohort for Equity and Culturally Responsive Teaching</w:t>
            </w:r>
            <w:r w:rsidR="00863598">
              <w:rPr>
                <w:rFonts w:asciiTheme="minorHAnsi" w:hAnsiTheme="minorHAnsi"/>
                <w:sz w:val="22"/>
                <w:szCs w:val="22"/>
              </w:rPr>
              <w:t xml:space="preserve"> in the Online Environment</w:t>
            </w:r>
            <w:bookmarkStart w:id="0" w:name="_GoBack"/>
            <w:bookmarkEnd w:id="0"/>
            <w:r w:rsidR="00863598">
              <w:rPr>
                <w:rFonts w:asciiTheme="minorHAnsi" w:hAnsiTheme="minorHAnsi"/>
                <w:sz w:val="22"/>
                <w:szCs w:val="22"/>
              </w:rPr>
              <w:t xml:space="preserve"> course</w:t>
            </w:r>
            <w:r>
              <w:rPr>
                <w:rFonts w:asciiTheme="minorHAnsi" w:hAnsiTheme="minorHAnsi"/>
                <w:sz w:val="22"/>
                <w:szCs w:val="22"/>
              </w:rPr>
              <w:t>.</w:t>
            </w:r>
          </w:p>
          <w:p w14:paraId="74EBE565" w14:textId="306E9E2D" w:rsidR="00F10032" w:rsidRDefault="00F10032" w:rsidP="00171FED">
            <w:pPr>
              <w:rPr>
                <w:rFonts w:asciiTheme="minorHAnsi" w:hAnsiTheme="minorHAnsi"/>
                <w:sz w:val="22"/>
                <w:szCs w:val="22"/>
              </w:rPr>
            </w:pPr>
            <w:r w:rsidRPr="00F10032">
              <w:rPr>
                <w:rFonts w:asciiTheme="minorHAnsi" w:hAnsiTheme="minorHAnsi"/>
                <w:sz w:val="22"/>
                <w:szCs w:val="22"/>
                <w:highlight w:val="yellow"/>
              </w:rPr>
              <w:t>IB9, IIA,</w:t>
            </w:r>
            <w:r>
              <w:rPr>
                <w:rFonts w:asciiTheme="minorHAnsi" w:hAnsiTheme="minorHAnsi"/>
                <w:sz w:val="22"/>
                <w:szCs w:val="22"/>
                <w:highlight w:val="yellow"/>
              </w:rPr>
              <w:t xml:space="preserve"> IIC,</w:t>
            </w:r>
            <w:r w:rsidRPr="00F10032">
              <w:rPr>
                <w:rFonts w:asciiTheme="minorHAnsi" w:hAnsiTheme="minorHAnsi"/>
                <w:sz w:val="22"/>
                <w:szCs w:val="22"/>
                <w:highlight w:val="yellow"/>
              </w:rPr>
              <w:t xml:space="preserve"> IIIC, IIIA14</w:t>
            </w:r>
          </w:p>
        </w:tc>
      </w:tr>
      <w:tr w:rsidR="00BA4FDB" w14:paraId="20747D96" w14:textId="77777777" w:rsidTr="00FA4891">
        <w:tc>
          <w:tcPr>
            <w:tcW w:w="4135" w:type="dxa"/>
          </w:tcPr>
          <w:p w14:paraId="3FC4ACFE" w14:textId="2B144C86" w:rsidR="00BA4FDB" w:rsidRDefault="00663C7D" w:rsidP="00BA4FDB">
            <w:pPr>
              <w:rPr>
                <w:rFonts w:asciiTheme="minorHAnsi" w:hAnsiTheme="minorHAnsi"/>
              </w:rPr>
            </w:pPr>
            <w:r>
              <w:rPr>
                <w:rFonts w:asciiTheme="minorHAnsi" w:hAnsiTheme="minorHAnsi"/>
              </w:rPr>
              <w:t xml:space="preserve">SPOT </w:t>
            </w:r>
            <w:r w:rsidR="00CE745E">
              <w:rPr>
                <w:rFonts w:asciiTheme="minorHAnsi" w:hAnsiTheme="minorHAnsi"/>
              </w:rPr>
              <w:t xml:space="preserve">(Skills and Pedagogy for Online Teaching) </w:t>
            </w:r>
            <w:r>
              <w:rPr>
                <w:rFonts w:asciiTheme="minorHAnsi" w:hAnsiTheme="minorHAnsi"/>
              </w:rPr>
              <w:t>recertification</w:t>
            </w:r>
          </w:p>
        </w:tc>
        <w:tc>
          <w:tcPr>
            <w:tcW w:w="6655" w:type="dxa"/>
          </w:tcPr>
          <w:p w14:paraId="5BB89C7A" w14:textId="2CBBE830" w:rsidR="00BA4FDB" w:rsidRDefault="00CE745E" w:rsidP="007C252B">
            <w:pPr>
              <w:rPr>
                <w:rFonts w:asciiTheme="minorHAnsi" w:hAnsiTheme="minorHAnsi"/>
                <w:sz w:val="22"/>
                <w:szCs w:val="22"/>
              </w:rPr>
            </w:pPr>
            <w:r>
              <w:rPr>
                <w:rFonts w:asciiTheme="minorHAnsi" w:hAnsiTheme="minorHAnsi"/>
                <w:sz w:val="22"/>
                <w:szCs w:val="22"/>
              </w:rPr>
              <w:t>Can faculty use</w:t>
            </w:r>
            <w:r w:rsidR="00663C7D">
              <w:rPr>
                <w:rFonts w:asciiTheme="minorHAnsi" w:hAnsiTheme="minorHAnsi"/>
                <w:sz w:val="22"/>
                <w:szCs w:val="22"/>
              </w:rPr>
              <w:t xml:space="preserve"> OEI Alignment for SPOT recert</w:t>
            </w:r>
            <w:r>
              <w:rPr>
                <w:rFonts w:asciiTheme="minorHAnsi" w:hAnsiTheme="minorHAnsi"/>
                <w:sz w:val="22"/>
                <w:szCs w:val="22"/>
              </w:rPr>
              <w:t>ification</w:t>
            </w:r>
            <w:r w:rsidR="00663C7D">
              <w:rPr>
                <w:rFonts w:asciiTheme="minorHAnsi" w:hAnsiTheme="minorHAnsi"/>
                <w:sz w:val="22"/>
                <w:szCs w:val="22"/>
              </w:rPr>
              <w:t xml:space="preserve"> activities?</w:t>
            </w:r>
          </w:p>
          <w:p w14:paraId="6DCFB08F" w14:textId="35BEA3C2" w:rsidR="00171FED" w:rsidRDefault="00171FED" w:rsidP="00CE745E">
            <w:pPr>
              <w:ind w:left="720"/>
              <w:rPr>
                <w:rFonts w:asciiTheme="minorHAnsi" w:hAnsiTheme="minorHAnsi"/>
                <w:sz w:val="22"/>
                <w:szCs w:val="22"/>
              </w:rPr>
            </w:pPr>
            <w:r>
              <w:rPr>
                <w:rFonts w:asciiTheme="minorHAnsi" w:hAnsiTheme="minorHAnsi"/>
                <w:sz w:val="22"/>
                <w:szCs w:val="22"/>
              </w:rPr>
              <w:t>Any faculty member who has completed OEI alignment can use those hours toward recertification.  These hours do not include the Regulations Update.  The faculty must complete the OEI process, not just be mentored as part of the Improving Online CTE Pathways grant.</w:t>
            </w:r>
          </w:p>
          <w:p w14:paraId="050E568F" w14:textId="01B1CAD3" w:rsidR="00BD4053" w:rsidRDefault="00BE4999" w:rsidP="007C252B">
            <w:pPr>
              <w:rPr>
                <w:rFonts w:asciiTheme="minorHAnsi" w:hAnsiTheme="minorHAnsi"/>
                <w:sz w:val="22"/>
                <w:szCs w:val="22"/>
              </w:rPr>
            </w:pPr>
            <w:r>
              <w:rPr>
                <w:rFonts w:asciiTheme="minorHAnsi" w:hAnsiTheme="minorHAnsi"/>
                <w:sz w:val="22"/>
                <w:szCs w:val="22"/>
              </w:rPr>
              <w:t xml:space="preserve">Meghan and Carol will be meeting with FA in winter to discuss procedures for faculty who have not completed SPOT recertification.  </w:t>
            </w:r>
            <w:r w:rsidR="007A57F9">
              <w:rPr>
                <w:rFonts w:asciiTheme="minorHAnsi" w:hAnsiTheme="minorHAnsi"/>
                <w:sz w:val="22"/>
                <w:szCs w:val="22"/>
              </w:rPr>
              <w:t xml:space="preserve">The committee discussed what </w:t>
            </w:r>
            <w:r>
              <w:rPr>
                <w:rFonts w:asciiTheme="minorHAnsi" w:hAnsiTheme="minorHAnsi"/>
                <w:sz w:val="22"/>
                <w:szCs w:val="22"/>
              </w:rPr>
              <w:t>to suggest</w:t>
            </w:r>
            <w:r w:rsidR="00CE745E">
              <w:rPr>
                <w:rFonts w:asciiTheme="minorHAnsi" w:hAnsiTheme="minorHAnsi"/>
                <w:sz w:val="22"/>
                <w:szCs w:val="22"/>
              </w:rPr>
              <w:t>.</w:t>
            </w:r>
            <w:r w:rsidR="007A57F9">
              <w:rPr>
                <w:rFonts w:asciiTheme="minorHAnsi" w:hAnsiTheme="minorHAnsi"/>
                <w:sz w:val="22"/>
                <w:szCs w:val="22"/>
              </w:rPr>
              <w:t xml:space="preserve">  There was not a clear </w:t>
            </w:r>
            <w:r>
              <w:rPr>
                <w:rFonts w:asciiTheme="minorHAnsi" w:hAnsiTheme="minorHAnsi"/>
                <w:sz w:val="22"/>
                <w:szCs w:val="22"/>
              </w:rPr>
              <w:t>consensus</w:t>
            </w:r>
            <w:r w:rsidR="007A57F9">
              <w:rPr>
                <w:rFonts w:asciiTheme="minorHAnsi" w:hAnsiTheme="minorHAnsi"/>
                <w:sz w:val="22"/>
                <w:szCs w:val="22"/>
              </w:rPr>
              <w:t>.</w:t>
            </w:r>
          </w:p>
          <w:p w14:paraId="1075F5D9" w14:textId="1A92C6EF" w:rsidR="007A57F9" w:rsidRDefault="007A57F9" w:rsidP="007A57F9">
            <w:pPr>
              <w:pStyle w:val="ListParagraph"/>
              <w:numPr>
                <w:ilvl w:val="0"/>
                <w:numId w:val="39"/>
              </w:numPr>
              <w:rPr>
                <w:rFonts w:asciiTheme="minorHAnsi" w:hAnsiTheme="minorHAnsi"/>
                <w:sz w:val="22"/>
                <w:szCs w:val="22"/>
              </w:rPr>
            </w:pPr>
            <w:r>
              <w:rPr>
                <w:rFonts w:asciiTheme="minorHAnsi" w:hAnsiTheme="minorHAnsi"/>
                <w:sz w:val="22"/>
                <w:szCs w:val="22"/>
              </w:rPr>
              <w:t xml:space="preserve">One </w:t>
            </w:r>
            <w:r w:rsidR="00BE4999">
              <w:rPr>
                <w:rFonts w:asciiTheme="minorHAnsi" w:hAnsiTheme="minorHAnsi"/>
                <w:sz w:val="22"/>
                <w:szCs w:val="22"/>
              </w:rPr>
              <w:t xml:space="preserve">suggestion:  faculty whose recertification deadline is approaching, but who have not been recertified yet, should not be listed in the Fall 2020 schedule, instead being listed as STAFF.  This would prevent online faculty from assuming they are “okay” when they are not.  </w:t>
            </w:r>
            <w:r w:rsidR="009C3CBC">
              <w:rPr>
                <w:rFonts w:asciiTheme="minorHAnsi" w:hAnsiTheme="minorHAnsi"/>
                <w:sz w:val="22"/>
                <w:szCs w:val="22"/>
              </w:rPr>
              <w:t xml:space="preserve">Concerns were that DCs would have to find classes for FT or rehire rights and then rearrange their schedules, creating much confusion.  </w:t>
            </w:r>
          </w:p>
          <w:p w14:paraId="1BBF820C" w14:textId="70DD5869" w:rsidR="00BE4999" w:rsidRDefault="00BE4999" w:rsidP="007A57F9">
            <w:pPr>
              <w:pStyle w:val="ListParagraph"/>
              <w:numPr>
                <w:ilvl w:val="0"/>
                <w:numId w:val="39"/>
              </w:numPr>
              <w:rPr>
                <w:rFonts w:asciiTheme="minorHAnsi" w:hAnsiTheme="minorHAnsi"/>
                <w:sz w:val="22"/>
                <w:szCs w:val="22"/>
              </w:rPr>
            </w:pPr>
            <w:r>
              <w:rPr>
                <w:rFonts w:asciiTheme="minorHAnsi" w:hAnsiTheme="minorHAnsi"/>
                <w:sz w:val="22"/>
                <w:szCs w:val="22"/>
              </w:rPr>
              <w:t xml:space="preserve">Another suggestion: determine repercussions and make more widely known.  The schedule discussed was:  if faculty miss the recertification deadline, they cannot teach online that year and the next July 31 date becomes their </w:t>
            </w:r>
            <w:r w:rsidR="009C3CBC">
              <w:rPr>
                <w:rFonts w:asciiTheme="minorHAnsi" w:hAnsiTheme="minorHAnsi"/>
                <w:sz w:val="22"/>
                <w:szCs w:val="22"/>
              </w:rPr>
              <w:t xml:space="preserve">next </w:t>
            </w:r>
            <w:r>
              <w:rPr>
                <w:rFonts w:asciiTheme="minorHAnsi" w:hAnsiTheme="minorHAnsi"/>
                <w:sz w:val="22"/>
                <w:szCs w:val="22"/>
              </w:rPr>
              <w:t>deadline</w:t>
            </w:r>
            <w:r w:rsidR="009C3CBC">
              <w:rPr>
                <w:rFonts w:asciiTheme="minorHAnsi" w:hAnsiTheme="minorHAnsi"/>
                <w:sz w:val="22"/>
                <w:szCs w:val="22"/>
              </w:rPr>
              <w:t xml:space="preserve"> – but their cycle stays constant (i.e., they have three years left until their next recertification, not four years)</w:t>
            </w:r>
            <w:r>
              <w:rPr>
                <w:rFonts w:asciiTheme="minorHAnsi" w:hAnsiTheme="minorHAnsi"/>
                <w:sz w:val="22"/>
                <w:szCs w:val="22"/>
              </w:rPr>
              <w:t xml:space="preserve">.  </w:t>
            </w:r>
            <w:r w:rsidR="009C3CBC">
              <w:rPr>
                <w:rFonts w:asciiTheme="minorHAnsi" w:hAnsiTheme="minorHAnsi"/>
                <w:sz w:val="22"/>
                <w:szCs w:val="22"/>
              </w:rPr>
              <w:t xml:space="preserve">If they fail to meet that deadline, then they cannot teach online that year, and they have two years left in the cycle, etc.  If faculty go a full four </w:t>
            </w:r>
            <w:r w:rsidR="009C3CBC">
              <w:rPr>
                <w:rFonts w:asciiTheme="minorHAnsi" w:hAnsiTheme="minorHAnsi"/>
                <w:sz w:val="22"/>
                <w:szCs w:val="22"/>
              </w:rPr>
              <w:lastRenderedPageBreak/>
              <w:t>years without recertifying, then they are required to retake SPOT in order to teach online in the future.</w:t>
            </w:r>
          </w:p>
          <w:p w14:paraId="1BA5E49B" w14:textId="2411D377" w:rsidR="004F2158" w:rsidRPr="00F10032" w:rsidRDefault="009C3CBC" w:rsidP="00F10032">
            <w:pPr>
              <w:pStyle w:val="ListParagraph"/>
              <w:numPr>
                <w:ilvl w:val="0"/>
                <w:numId w:val="39"/>
              </w:numPr>
              <w:rPr>
                <w:rFonts w:asciiTheme="minorHAnsi" w:hAnsiTheme="minorHAnsi"/>
                <w:sz w:val="22"/>
                <w:szCs w:val="22"/>
              </w:rPr>
            </w:pPr>
            <w:r>
              <w:rPr>
                <w:rFonts w:asciiTheme="minorHAnsi" w:hAnsiTheme="minorHAnsi"/>
                <w:sz w:val="22"/>
                <w:szCs w:val="22"/>
              </w:rPr>
              <w:t>We should incentivize early SPOT recertification.  Congratulate them publicly and honor them at FLEX day or by creating badges or other swag.</w:t>
            </w:r>
          </w:p>
          <w:p w14:paraId="772D5075" w14:textId="48CDCF9F" w:rsidR="00CE745E" w:rsidRDefault="00F10032" w:rsidP="00F10032">
            <w:pPr>
              <w:rPr>
                <w:rFonts w:asciiTheme="minorHAnsi" w:hAnsiTheme="minorHAnsi"/>
                <w:sz w:val="22"/>
                <w:szCs w:val="22"/>
              </w:rPr>
            </w:pPr>
            <w:r w:rsidRPr="00F10032">
              <w:rPr>
                <w:rFonts w:asciiTheme="minorHAnsi" w:hAnsiTheme="minorHAnsi"/>
                <w:sz w:val="22"/>
                <w:szCs w:val="22"/>
                <w:highlight w:val="yellow"/>
              </w:rPr>
              <w:t>IB9,</w:t>
            </w:r>
            <w:r>
              <w:rPr>
                <w:rFonts w:asciiTheme="minorHAnsi" w:hAnsiTheme="minorHAnsi"/>
                <w:sz w:val="22"/>
                <w:szCs w:val="22"/>
                <w:highlight w:val="yellow"/>
              </w:rPr>
              <w:t xml:space="preserve"> IIA,</w:t>
            </w:r>
            <w:r w:rsidRPr="00F10032">
              <w:rPr>
                <w:rFonts w:asciiTheme="minorHAnsi" w:hAnsiTheme="minorHAnsi"/>
                <w:sz w:val="22"/>
                <w:szCs w:val="22"/>
                <w:highlight w:val="yellow"/>
              </w:rPr>
              <w:t xml:space="preserve"> IIIA14</w:t>
            </w:r>
          </w:p>
        </w:tc>
      </w:tr>
      <w:tr w:rsidR="00864DC9" w14:paraId="04F41C83" w14:textId="77777777" w:rsidTr="00FA4891">
        <w:tc>
          <w:tcPr>
            <w:tcW w:w="4135" w:type="dxa"/>
          </w:tcPr>
          <w:p w14:paraId="65474C0E" w14:textId="5D8C8EF3" w:rsidR="00864DC9" w:rsidRDefault="00864DC9" w:rsidP="00BA4FDB">
            <w:pPr>
              <w:rPr>
                <w:rFonts w:asciiTheme="minorHAnsi" w:hAnsiTheme="minorHAnsi"/>
              </w:rPr>
            </w:pPr>
            <w:r>
              <w:rPr>
                <w:rFonts w:asciiTheme="minorHAnsi" w:hAnsiTheme="minorHAnsi"/>
              </w:rPr>
              <w:lastRenderedPageBreak/>
              <w:t>SOSE</w:t>
            </w:r>
            <w:r w:rsidR="00141CD3">
              <w:rPr>
                <w:rFonts w:asciiTheme="minorHAnsi" w:hAnsiTheme="minorHAnsi"/>
              </w:rPr>
              <w:t xml:space="preserve"> (Survey of Online Student Engagement)</w:t>
            </w:r>
          </w:p>
        </w:tc>
        <w:tc>
          <w:tcPr>
            <w:tcW w:w="6655" w:type="dxa"/>
          </w:tcPr>
          <w:p w14:paraId="77F949CF" w14:textId="77777777" w:rsidR="00864DC9" w:rsidRDefault="004F2158" w:rsidP="007C252B">
            <w:pPr>
              <w:rPr>
                <w:rFonts w:asciiTheme="minorHAnsi" w:hAnsiTheme="minorHAnsi"/>
                <w:sz w:val="22"/>
                <w:szCs w:val="22"/>
              </w:rPr>
            </w:pPr>
            <w:r>
              <w:rPr>
                <w:rFonts w:asciiTheme="minorHAnsi" w:hAnsiTheme="minorHAnsi"/>
                <w:sz w:val="22"/>
                <w:szCs w:val="22"/>
              </w:rPr>
              <w:t>SOSE is the online version of the CCSSE (Community College Survey of Student Engagement)</w:t>
            </w:r>
            <w:r w:rsidR="00864DC9">
              <w:rPr>
                <w:rFonts w:asciiTheme="minorHAnsi" w:hAnsiTheme="minorHAnsi"/>
                <w:sz w:val="22"/>
                <w:szCs w:val="22"/>
              </w:rPr>
              <w:t xml:space="preserve">.  </w:t>
            </w:r>
            <w:r>
              <w:rPr>
                <w:rFonts w:asciiTheme="minorHAnsi" w:hAnsiTheme="minorHAnsi"/>
                <w:sz w:val="22"/>
                <w:szCs w:val="22"/>
              </w:rPr>
              <w:t xml:space="preserve">We have the ability to add 5-6 items to the questionnaire. </w:t>
            </w:r>
            <w:r w:rsidR="00864DC9">
              <w:rPr>
                <w:rFonts w:asciiTheme="minorHAnsi" w:hAnsiTheme="minorHAnsi"/>
                <w:sz w:val="22"/>
                <w:szCs w:val="22"/>
              </w:rPr>
              <w:t>Think of questions for next meeting.  Barbara McNiece-Stallard will visit us.</w:t>
            </w:r>
          </w:p>
          <w:p w14:paraId="7B3D97C3" w14:textId="5C24A135" w:rsidR="00F10032" w:rsidRDefault="00F10032" w:rsidP="007C252B">
            <w:pPr>
              <w:rPr>
                <w:rFonts w:asciiTheme="minorHAnsi" w:hAnsiTheme="minorHAnsi"/>
                <w:sz w:val="22"/>
                <w:szCs w:val="22"/>
              </w:rPr>
            </w:pPr>
            <w:r w:rsidRPr="00F10032">
              <w:rPr>
                <w:rFonts w:asciiTheme="minorHAnsi" w:hAnsiTheme="minorHAnsi"/>
                <w:sz w:val="22"/>
                <w:szCs w:val="22"/>
                <w:highlight w:val="yellow"/>
              </w:rPr>
              <w:t>IB9, IIA</w:t>
            </w:r>
          </w:p>
        </w:tc>
      </w:tr>
      <w:tr w:rsidR="00141CD3" w14:paraId="45122E5D" w14:textId="77777777" w:rsidTr="00FA4891">
        <w:tc>
          <w:tcPr>
            <w:tcW w:w="4135" w:type="dxa"/>
          </w:tcPr>
          <w:p w14:paraId="014F992D" w14:textId="18CB4E36" w:rsidR="00141CD3" w:rsidRDefault="00141CD3" w:rsidP="00BA4FDB">
            <w:pPr>
              <w:rPr>
                <w:rFonts w:asciiTheme="minorHAnsi" w:hAnsiTheme="minorHAnsi"/>
              </w:rPr>
            </w:pPr>
            <w:r>
              <w:rPr>
                <w:rFonts w:asciiTheme="minorHAnsi" w:hAnsiTheme="minorHAnsi"/>
              </w:rPr>
              <w:t>Calbright Handouts</w:t>
            </w:r>
          </w:p>
        </w:tc>
        <w:tc>
          <w:tcPr>
            <w:tcW w:w="6655" w:type="dxa"/>
          </w:tcPr>
          <w:p w14:paraId="65B3FD88" w14:textId="4F39F3E7" w:rsidR="00141CD3" w:rsidRDefault="00141CD3" w:rsidP="00141CD3">
            <w:pPr>
              <w:rPr>
                <w:rFonts w:asciiTheme="minorHAnsi" w:hAnsiTheme="minorHAnsi"/>
                <w:sz w:val="22"/>
                <w:szCs w:val="22"/>
              </w:rPr>
            </w:pPr>
            <w:r>
              <w:rPr>
                <w:rFonts w:asciiTheme="minorHAnsi" w:hAnsiTheme="minorHAnsi"/>
                <w:sz w:val="22"/>
                <w:szCs w:val="22"/>
              </w:rPr>
              <w:t xml:space="preserve">The Chancellor’s Office shared handouts with the DE Coordinators group regarding Calbright.  </w:t>
            </w:r>
          </w:p>
        </w:tc>
      </w:tr>
      <w:tr w:rsidR="007457AF" w14:paraId="27E60247" w14:textId="77777777" w:rsidTr="00FA4891">
        <w:tc>
          <w:tcPr>
            <w:tcW w:w="4135" w:type="dxa"/>
            <w:shd w:val="clear" w:color="auto" w:fill="D9D9D9" w:themeFill="background1" w:themeFillShade="D9"/>
          </w:tcPr>
          <w:p w14:paraId="11385CB5" w14:textId="2D56F982" w:rsidR="007457AF" w:rsidRPr="00970383" w:rsidRDefault="007457AF"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3A4944ED" w14:textId="66682542" w:rsidR="007457AF" w:rsidRPr="00823B5D" w:rsidRDefault="007457AF" w:rsidP="007457AF">
            <w:pPr>
              <w:rPr>
                <w:rFonts w:asciiTheme="minorHAnsi" w:hAnsiTheme="minorHAnsi"/>
                <w:sz w:val="22"/>
                <w:szCs w:val="22"/>
              </w:rPr>
            </w:pPr>
          </w:p>
        </w:tc>
      </w:tr>
      <w:tr w:rsidR="007457AF" w14:paraId="534015AF" w14:textId="77777777" w:rsidTr="00FA4891">
        <w:trPr>
          <w:trHeight w:val="377"/>
        </w:trPr>
        <w:tc>
          <w:tcPr>
            <w:tcW w:w="4135" w:type="dxa"/>
          </w:tcPr>
          <w:p w14:paraId="3ACCC3B9" w14:textId="7CAEAECA" w:rsidR="007457AF" w:rsidRDefault="007457AF" w:rsidP="007457AF">
            <w:pPr>
              <w:rPr>
                <w:rFonts w:asciiTheme="minorHAnsi" w:hAnsiTheme="minorHAnsi"/>
              </w:rPr>
            </w:pPr>
          </w:p>
        </w:tc>
        <w:tc>
          <w:tcPr>
            <w:tcW w:w="6655" w:type="dxa"/>
          </w:tcPr>
          <w:p w14:paraId="5C7D700A" w14:textId="26C4214F" w:rsidR="007457AF" w:rsidRDefault="008A5E4F" w:rsidP="007457AF">
            <w:pPr>
              <w:rPr>
                <w:rFonts w:asciiTheme="minorHAnsi" w:hAnsiTheme="minorHAnsi"/>
                <w:sz w:val="22"/>
                <w:szCs w:val="22"/>
              </w:rPr>
            </w:pPr>
            <w:r>
              <w:rPr>
                <w:rFonts w:asciiTheme="minorHAnsi" w:hAnsiTheme="minorHAnsi"/>
                <w:sz w:val="22"/>
                <w:szCs w:val="22"/>
              </w:rPr>
              <w:t>There will be a December 10 meeting.</w:t>
            </w:r>
          </w:p>
        </w:tc>
      </w:tr>
    </w:tbl>
    <w:p w14:paraId="4BEDCC78" w14:textId="587CB2F9" w:rsidR="008C097E" w:rsidRPr="007F7F4C" w:rsidRDefault="008C097E">
      <w:pPr>
        <w:rPr>
          <w:rFonts w:asciiTheme="minorHAnsi" w:hAnsiTheme="minorHAnsi"/>
        </w:rPr>
      </w:pPr>
    </w:p>
    <w:p w14:paraId="7CCA0104" w14:textId="42BE5D9B" w:rsidR="008C097E" w:rsidRPr="00F1585E" w:rsidRDefault="00864DC9" w:rsidP="00F1585E">
      <w:pPr>
        <w:rPr>
          <w:rFonts w:asciiTheme="minorHAnsi" w:hAnsiTheme="minorHAnsi"/>
          <w:sz w:val="20"/>
          <w:szCs w:val="20"/>
        </w:rPr>
      </w:pPr>
      <w:r>
        <w:rPr>
          <w:rFonts w:asciiTheme="minorHAnsi" w:hAnsiTheme="minorHAnsi"/>
          <w:b/>
          <w:sz w:val="20"/>
          <w:szCs w:val="20"/>
        </w:rPr>
        <w:t>Fall</w:t>
      </w:r>
      <w:r w:rsidR="00783D99">
        <w:rPr>
          <w:rFonts w:asciiTheme="minorHAnsi" w:hAnsiTheme="minorHAnsi"/>
          <w:b/>
          <w:sz w:val="20"/>
          <w:szCs w:val="20"/>
        </w:rPr>
        <w:t xml:space="preserve">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sidR="00783D99">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sidR="00783D99">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09D901DF" w14:textId="2ABCE98A" w:rsidR="007F21B8" w:rsidRPr="00864DC9" w:rsidRDefault="002F30C5" w:rsidP="002C7C5A">
      <w:pPr>
        <w:pStyle w:val="Heading2ResolutionTitle"/>
        <w:rPr>
          <w:rFonts w:ascii="Arial" w:hAnsi="Arial" w:cs="Arial"/>
          <w:sz w:val="20"/>
          <w:szCs w:val="20"/>
        </w:rPr>
      </w:pPr>
      <w:r w:rsidRPr="00864DC9">
        <w:rPr>
          <w:rFonts w:ascii="Arial" w:hAnsi="Arial" w:cs="Arial"/>
          <w:sz w:val="20"/>
          <w:szCs w:val="20"/>
        </w:rPr>
        <w:t>Communication about HRM 91 Work Experience</w:t>
      </w:r>
    </w:p>
    <w:p w14:paraId="373DF038" w14:textId="77777777" w:rsidR="008B1273" w:rsidRPr="00864DC9" w:rsidRDefault="008B1273" w:rsidP="008B1273">
      <w:pPr>
        <w:shd w:val="clear" w:color="auto" w:fill="FFFFFF"/>
        <w:textAlignment w:val="baseline"/>
        <w:rPr>
          <w:rFonts w:ascii="Calibri" w:hAnsi="Calibri"/>
          <w:color w:val="000000"/>
          <w:sz w:val="20"/>
          <w:szCs w:val="20"/>
        </w:rPr>
      </w:pPr>
      <w:r w:rsidRPr="00864DC9">
        <w:rPr>
          <w:rFonts w:ascii="Calibri" w:hAnsi="Calibri"/>
          <w:color w:val="000000"/>
          <w:sz w:val="20"/>
          <w:szCs w:val="20"/>
        </w:rPr>
        <w:t>Students work either a total of 60 hours of unpaid or 75 hours of paid work to earn a unit.  The course can be taken for 1, 2, 3, or 4 units.  If there are different units, they receive a different CRN.  Should the faculty developer create four different DL Amendment forms, one for each unit?  </w:t>
      </w:r>
      <w:r w:rsidRPr="00864DC9">
        <w:rPr>
          <w:rFonts w:ascii="Calibri" w:hAnsi="Calibri"/>
          <w:color w:val="C82613"/>
          <w:sz w:val="20"/>
          <w:szCs w:val="20"/>
          <w:bdr w:val="none" w:sz="0" w:space="0" w:color="auto" w:frame="1"/>
        </w:rPr>
        <w:t>​As variable units do not result in four different CORs for a course, I don't imagine they will result in four different DL Amendment Forms for a course.  However, I am not the expert on DL Amendment Forms, so perhaps your committee can weigh in.</w:t>
      </w:r>
    </w:p>
    <w:p w14:paraId="5E35535B" w14:textId="77777777" w:rsidR="008B1273" w:rsidRPr="00864DC9" w:rsidRDefault="008B1273" w:rsidP="008B1273">
      <w:pPr>
        <w:shd w:val="clear" w:color="auto" w:fill="FFFFFF"/>
        <w:textAlignment w:val="baseline"/>
        <w:rPr>
          <w:rFonts w:ascii="Segoe UI" w:hAnsi="Segoe UI" w:cs="Segoe UI"/>
          <w:color w:val="201F1E"/>
          <w:sz w:val="20"/>
          <w:szCs w:val="20"/>
        </w:rPr>
      </w:pPr>
    </w:p>
    <w:p w14:paraId="3ECBC10C" w14:textId="77777777" w:rsidR="008B1273" w:rsidRPr="00864DC9" w:rsidRDefault="008B1273" w:rsidP="008B1273">
      <w:pPr>
        <w:shd w:val="clear" w:color="auto" w:fill="FFFFFF"/>
        <w:textAlignment w:val="baseline"/>
        <w:rPr>
          <w:rFonts w:ascii="Segoe UI" w:hAnsi="Segoe UI" w:cs="Segoe UI"/>
          <w:color w:val="201F1E"/>
          <w:sz w:val="20"/>
          <w:szCs w:val="20"/>
        </w:rPr>
      </w:pPr>
      <w:r w:rsidRPr="00864DC9">
        <w:rPr>
          <w:rFonts w:ascii="Calibri" w:hAnsi="Calibri" w:cs="Segoe UI"/>
          <w:color w:val="000000"/>
          <w:sz w:val="20"/>
          <w:szCs w:val="20"/>
          <w:bdr w:val="none" w:sz="0" w:space="0" w:color="auto" w:frame="1"/>
        </w:rPr>
        <w:t>Related question:  how do we determine how many hours do we assign for the part of Table 2 that asks us to “Estimate a student’s time on task expected for each DL abbreviation activity listed?”  </w:t>
      </w:r>
      <w:r w:rsidRPr="00864DC9">
        <w:rPr>
          <w:rFonts w:ascii="Calibri" w:hAnsi="Calibri" w:cs="Segoe UI"/>
          <w:color w:val="C82613"/>
          <w:sz w:val="20"/>
          <w:szCs w:val="20"/>
          <w:bdr w:val="none" w:sz="0" w:space="0" w:color="auto" w:frame="1"/>
        </w:rPr>
        <w:t>​I assume that this number must total the number of unpaid or paid hours for each unit. </w:t>
      </w:r>
    </w:p>
    <w:p w14:paraId="29B9ADEC" w14:textId="77777777" w:rsidR="008B1273" w:rsidRPr="00864DC9" w:rsidRDefault="008B1273" w:rsidP="008B1273">
      <w:pPr>
        <w:shd w:val="clear" w:color="auto" w:fill="FFFFFF"/>
        <w:textAlignment w:val="baseline"/>
        <w:rPr>
          <w:rFonts w:ascii="Calibri" w:hAnsi="Calibri"/>
          <w:color w:val="000000"/>
          <w:sz w:val="20"/>
          <w:szCs w:val="20"/>
        </w:rPr>
      </w:pPr>
    </w:p>
    <w:p w14:paraId="0C670338" w14:textId="06367150" w:rsidR="00BF24C7" w:rsidRPr="005928CA" w:rsidRDefault="008B1273" w:rsidP="005928CA">
      <w:pPr>
        <w:shd w:val="clear" w:color="auto" w:fill="FFFFFF"/>
        <w:textAlignment w:val="baseline"/>
        <w:rPr>
          <w:rFonts w:ascii="Calibri" w:hAnsi="Calibri"/>
          <w:color w:val="000000"/>
          <w:sz w:val="20"/>
          <w:szCs w:val="20"/>
        </w:rPr>
      </w:pPr>
      <w:r w:rsidRPr="00864DC9">
        <w:rPr>
          <w:rFonts w:ascii="Calibri" w:hAnsi="Calibri"/>
          <w:color w:val="000000"/>
          <w:sz w:val="20"/>
          <w:szCs w:val="20"/>
        </w:rPr>
        <w:t>A 1-unit class should account for 3-4.5 hours per week.  However, the guidelines for Work Experience would require that a student working the unpaid 60-hour job work 4 hours per week, or the student working the paid 75-hour job work 5 hours per week.  So I think those should go into Lab??    </w:t>
      </w:r>
      <w:r w:rsidRPr="00864DC9">
        <w:rPr>
          <w:rFonts w:ascii="Calibri" w:hAnsi="Calibri"/>
          <w:color w:val="C82613"/>
          <w:sz w:val="20"/>
          <w:szCs w:val="20"/>
          <w:bdr w:val="none" w:sz="0" w:space="0" w:color="auto" w:frame="1"/>
        </w:rPr>
        <w:t>​Yes, Work Experience courses usually have the hours listed under LAB.</w:t>
      </w:r>
    </w:p>
    <w:sectPr w:rsidR="00BF24C7" w:rsidRPr="005928CA"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A493" w14:textId="77777777" w:rsidR="00982BC6" w:rsidRDefault="00982BC6" w:rsidP="005E5603">
      <w:r>
        <w:separator/>
      </w:r>
    </w:p>
  </w:endnote>
  <w:endnote w:type="continuationSeparator" w:id="0">
    <w:p w14:paraId="438BA98E" w14:textId="77777777" w:rsidR="00982BC6" w:rsidRDefault="00982BC6"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9B7A" w14:textId="77777777" w:rsidR="00982BC6" w:rsidRDefault="00982BC6" w:rsidP="005E5603">
      <w:r>
        <w:separator/>
      </w:r>
    </w:p>
  </w:footnote>
  <w:footnote w:type="continuationSeparator" w:id="0">
    <w:p w14:paraId="6BF163D7" w14:textId="77777777" w:rsidR="00982BC6" w:rsidRDefault="00982BC6"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5001D"/>
    <w:multiLevelType w:val="hybridMultilevel"/>
    <w:tmpl w:val="069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E2745"/>
    <w:multiLevelType w:val="hybridMultilevel"/>
    <w:tmpl w:val="57665B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5B5817"/>
    <w:multiLevelType w:val="hybridMultilevel"/>
    <w:tmpl w:val="7B306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AA43272"/>
    <w:multiLevelType w:val="hybridMultilevel"/>
    <w:tmpl w:val="07C8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2"/>
  </w:num>
  <w:num w:numId="3">
    <w:abstractNumId w:val="29"/>
  </w:num>
  <w:num w:numId="4">
    <w:abstractNumId w:val="24"/>
  </w:num>
  <w:num w:numId="5">
    <w:abstractNumId w:val="4"/>
  </w:num>
  <w:num w:numId="6">
    <w:abstractNumId w:val="19"/>
  </w:num>
  <w:num w:numId="7">
    <w:abstractNumId w:val="13"/>
  </w:num>
  <w:num w:numId="8">
    <w:abstractNumId w:val="26"/>
  </w:num>
  <w:num w:numId="9">
    <w:abstractNumId w:val="17"/>
  </w:num>
  <w:num w:numId="10">
    <w:abstractNumId w:val="21"/>
  </w:num>
  <w:num w:numId="11">
    <w:abstractNumId w:val="23"/>
  </w:num>
  <w:num w:numId="12">
    <w:abstractNumId w:val="6"/>
  </w:num>
  <w:num w:numId="13">
    <w:abstractNumId w:val="14"/>
  </w:num>
  <w:num w:numId="14">
    <w:abstractNumId w:val="38"/>
  </w:num>
  <w:num w:numId="15">
    <w:abstractNumId w:val="25"/>
  </w:num>
  <w:num w:numId="16">
    <w:abstractNumId w:val="7"/>
  </w:num>
  <w:num w:numId="17">
    <w:abstractNumId w:val="18"/>
  </w:num>
  <w:num w:numId="18">
    <w:abstractNumId w:val="10"/>
  </w:num>
  <w:num w:numId="19">
    <w:abstractNumId w:val="30"/>
  </w:num>
  <w:num w:numId="20">
    <w:abstractNumId w:val="0"/>
  </w:num>
  <w:num w:numId="21">
    <w:abstractNumId w:val="37"/>
  </w:num>
  <w:num w:numId="22">
    <w:abstractNumId w:val="2"/>
  </w:num>
  <w:num w:numId="23">
    <w:abstractNumId w:val="5"/>
  </w:num>
  <w:num w:numId="24">
    <w:abstractNumId w:val="20"/>
  </w:num>
  <w:num w:numId="25">
    <w:abstractNumId w:val="33"/>
  </w:num>
  <w:num w:numId="26">
    <w:abstractNumId w:val="8"/>
  </w:num>
  <w:num w:numId="27">
    <w:abstractNumId w:val="3"/>
  </w:num>
  <w:num w:numId="28">
    <w:abstractNumId w:val="9"/>
  </w:num>
  <w:num w:numId="29">
    <w:abstractNumId w:val="34"/>
  </w:num>
  <w:num w:numId="30">
    <w:abstractNumId w:val="3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36"/>
  </w:num>
  <w:num w:numId="35">
    <w:abstractNumId w:val="11"/>
  </w:num>
  <w:num w:numId="36">
    <w:abstractNumId w:val="28"/>
  </w:num>
  <w:num w:numId="37">
    <w:abstractNumId w:val="32"/>
  </w:num>
  <w:num w:numId="38">
    <w:abstractNumId w:val="31"/>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55A5"/>
    <w:rsid w:val="000656FD"/>
    <w:rsid w:val="00066C0E"/>
    <w:rsid w:val="00072BC8"/>
    <w:rsid w:val="00086C7A"/>
    <w:rsid w:val="00087FDB"/>
    <w:rsid w:val="00090C88"/>
    <w:rsid w:val="00093D4E"/>
    <w:rsid w:val="00096ED4"/>
    <w:rsid w:val="000A2600"/>
    <w:rsid w:val="000C4A7B"/>
    <w:rsid w:val="000D59D5"/>
    <w:rsid w:val="000E295A"/>
    <w:rsid w:val="000E4DE7"/>
    <w:rsid w:val="000E7875"/>
    <w:rsid w:val="000E7C12"/>
    <w:rsid w:val="000E7D96"/>
    <w:rsid w:val="000F10F8"/>
    <w:rsid w:val="00103CA8"/>
    <w:rsid w:val="00113F3E"/>
    <w:rsid w:val="0011704C"/>
    <w:rsid w:val="00127C53"/>
    <w:rsid w:val="001335C2"/>
    <w:rsid w:val="001352DF"/>
    <w:rsid w:val="0014167A"/>
    <w:rsid w:val="00141CD3"/>
    <w:rsid w:val="00143240"/>
    <w:rsid w:val="001529C1"/>
    <w:rsid w:val="00153646"/>
    <w:rsid w:val="001657C4"/>
    <w:rsid w:val="00166568"/>
    <w:rsid w:val="00171FED"/>
    <w:rsid w:val="001773A1"/>
    <w:rsid w:val="00177810"/>
    <w:rsid w:val="0018359C"/>
    <w:rsid w:val="00186304"/>
    <w:rsid w:val="001874AA"/>
    <w:rsid w:val="00194F9D"/>
    <w:rsid w:val="001976D3"/>
    <w:rsid w:val="00197852"/>
    <w:rsid w:val="00197FBB"/>
    <w:rsid w:val="001A1F47"/>
    <w:rsid w:val="001A6A4C"/>
    <w:rsid w:val="001B16C7"/>
    <w:rsid w:val="001B1959"/>
    <w:rsid w:val="001B4760"/>
    <w:rsid w:val="001B7CEF"/>
    <w:rsid w:val="001C1F32"/>
    <w:rsid w:val="001C5824"/>
    <w:rsid w:val="001D1126"/>
    <w:rsid w:val="001E273C"/>
    <w:rsid w:val="001F28EC"/>
    <w:rsid w:val="0021052D"/>
    <w:rsid w:val="00215C0C"/>
    <w:rsid w:val="00215F58"/>
    <w:rsid w:val="00216736"/>
    <w:rsid w:val="00230CDC"/>
    <w:rsid w:val="00234D98"/>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4575"/>
    <w:rsid w:val="002C15B0"/>
    <w:rsid w:val="002C2F53"/>
    <w:rsid w:val="002C4655"/>
    <w:rsid w:val="002C51DD"/>
    <w:rsid w:val="002C7C5A"/>
    <w:rsid w:val="002D2890"/>
    <w:rsid w:val="002E4E03"/>
    <w:rsid w:val="002E52C6"/>
    <w:rsid w:val="002E6479"/>
    <w:rsid w:val="002F30C5"/>
    <w:rsid w:val="002F4835"/>
    <w:rsid w:val="002F594B"/>
    <w:rsid w:val="00300A6E"/>
    <w:rsid w:val="00305F11"/>
    <w:rsid w:val="00315B38"/>
    <w:rsid w:val="00321725"/>
    <w:rsid w:val="00323281"/>
    <w:rsid w:val="00326FAC"/>
    <w:rsid w:val="003357C7"/>
    <w:rsid w:val="0034231A"/>
    <w:rsid w:val="00347E22"/>
    <w:rsid w:val="00352837"/>
    <w:rsid w:val="00354BA6"/>
    <w:rsid w:val="00365D51"/>
    <w:rsid w:val="00370C43"/>
    <w:rsid w:val="00383BB8"/>
    <w:rsid w:val="003917CB"/>
    <w:rsid w:val="003A1A80"/>
    <w:rsid w:val="003A4DDC"/>
    <w:rsid w:val="003B1195"/>
    <w:rsid w:val="003B2FB1"/>
    <w:rsid w:val="003B37CF"/>
    <w:rsid w:val="003B4588"/>
    <w:rsid w:val="003B74C0"/>
    <w:rsid w:val="003C6931"/>
    <w:rsid w:val="003D05BB"/>
    <w:rsid w:val="003D48D0"/>
    <w:rsid w:val="003E071F"/>
    <w:rsid w:val="003E6445"/>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37055"/>
    <w:rsid w:val="0044267C"/>
    <w:rsid w:val="004427C3"/>
    <w:rsid w:val="00450900"/>
    <w:rsid w:val="00450B36"/>
    <w:rsid w:val="004542CA"/>
    <w:rsid w:val="00454507"/>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7F36"/>
    <w:rsid w:val="004F2158"/>
    <w:rsid w:val="00510569"/>
    <w:rsid w:val="00515600"/>
    <w:rsid w:val="005263AA"/>
    <w:rsid w:val="00535A2E"/>
    <w:rsid w:val="00537D1F"/>
    <w:rsid w:val="005639E0"/>
    <w:rsid w:val="00567C4E"/>
    <w:rsid w:val="005702EE"/>
    <w:rsid w:val="005704FA"/>
    <w:rsid w:val="00572F94"/>
    <w:rsid w:val="0057400F"/>
    <w:rsid w:val="00582835"/>
    <w:rsid w:val="005871C8"/>
    <w:rsid w:val="005878DE"/>
    <w:rsid w:val="005928CA"/>
    <w:rsid w:val="00596D2D"/>
    <w:rsid w:val="00596D87"/>
    <w:rsid w:val="005A6387"/>
    <w:rsid w:val="005B3A56"/>
    <w:rsid w:val="005B61A9"/>
    <w:rsid w:val="005B7567"/>
    <w:rsid w:val="005C2B03"/>
    <w:rsid w:val="005C407F"/>
    <w:rsid w:val="005D2BB3"/>
    <w:rsid w:val="005D409C"/>
    <w:rsid w:val="005D40D0"/>
    <w:rsid w:val="005D75E4"/>
    <w:rsid w:val="005E5603"/>
    <w:rsid w:val="005E724F"/>
    <w:rsid w:val="005F0252"/>
    <w:rsid w:val="00602E8C"/>
    <w:rsid w:val="00605387"/>
    <w:rsid w:val="00610574"/>
    <w:rsid w:val="006114E7"/>
    <w:rsid w:val="00622C23"/>
    <w:rsid w:val="00627067"/>
    <w:rsid w:val="006274D9"/>
    <w:rsid w:val="0063511D"/>
    <w:rsid w:val="00635E22"/>
    <w:rsid w:val="00637D9F"/>
    <w:rsid w:val="00640B28"/>
    <w:rsid w:val="00641F93"/>
    <w:rsid w:val="006529D9"/>
    <w:rsid w:val="00655B48"/>
    <w:rsid w:val="00663C7D"/>
    <w:rsid w:val="00670CE6"/>
    <w:rsid w:val="00672500"/>
    <w:rsid w:val="0067368B"/>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C7495"/>
    <w:rsid w:val="006D4EA7"/>
    <w:rsid w:val="006D74D1"/>
    <w:rsid w:val="006E3DDA"/>
    <w:rsid w:val="006E7B0F"/>
    <w:rsid w:val="006F330E"/>
    <w:rsid w:val="006F7513"/>
    <w:rsid w:val="00700BF8"/>
    <w:rsid w:val="007019BD"/>
    <w:rsid w:val="00707E22"/>
    <w:rsid w:val="00715AEE"/>
    <w:rsid w:val="00716A3B"/>
    <w:rsid w:val="007224BD"/>
    <w:rsid w:val="00723E45"/>
    <w:rsid w:val="007326C7"/>
    <w:rsid w:val="00736A60"/>
    <w:rsid w:val="00742EFC"/>
    <w:rsid w:val="00744BC4"/>
    <w:rsid w:val="00745558"/>
    <w:rsid w:val="007457AF"/>
    <w:rsid w:val="007544F9"/>
    <w:rsid w:val="00761219"/>
    <w:rsid w:val="00764B35"/>
    <w:rsid w:val="00771AC5"/>
    <w:rsid w:val="007721D3"/>
    <w:rsid w:val="00773B7E"/>
    <w:rsid w:val="00782712"/>
    <w:rsid w:val="00783D99"/>
    <w:rsid w:val="00784AE4"/>
    <w:rsid w:val="007857D1"/>
    <w:rsid w:val="007870C9"/>
    <w:rsid w:val="007A35A8"/>
    <w:rsid w:val="007A3973"/>
    <w:rsid w:val="007A459D"/>
    <w:rsid w:val="007A57F9"/>
    <w:rsid w:val="007B3746"/>
    <w:rsid w:val="007C252B"/>
    <w:rsid w:val="007C5294"/>
    <w:rsid w:val="007C6A84"/>
    <w:rsid w:val="007D533D"/>
    <w:rsid w:val="007E0296"/>
    <w:rsid w:val="007F21B8"/>
    <w:rsid w:val="007F4D08"/>
    <w:rsid w:val="007F5211"/>
    <w:rsid w:val="007F6765"/>
    <w:rsid w:val="007F7F4C"/>
    <w:rsid w:val="007F7F9B"/>
    <w:rsid w:val="008012A8"/>
    <w:rsid w:val="008019A3"/>
    <w:rsid w:val="0080388A"/>
    <w:rsid w:val="008064A3"/>
    <w:rsid w:val="00820B77"/>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3598"/>
    <w:rsid w:val="00864DC9"/>
    <w:rsid w:val="00867480"/>
    <w:rsid w:val="00867763"/>
    <w:rsid w:val="0087263B"/>
    <w:rsid w:val="00880422"/>
    <w:rsid w:val="0088297F"/>
    <w:rsid w:val="00882D41"/>
    <w:rsid w:val="008854DD"/>
    <w:rsid w:val="0088675E"/>
    <w:rsid w:val="008937D3"/>
    <w:rsid w:val="00895290"/>
    <w:rsid w:val="008A5E4F"/>
    <w:rsid w:val="008A67CF"/>
    <w:rsid w:val="008B1273"/>
    <w:rsid w:val="008B1AF3"/>
    <w:rsid w:val="008B4255"/>
    <w:rsid w:val="008C097E"/>
    <w:rsid w:val="008C43DB"/>
    <w:rsid w:val="008C5136"/>
    <w:rsid w:val="008C643E"/>
    <w:rsid w:val="008D1DA3"/>
    <w:rsid w:val="008D3FD8"/>
    <w:rsid w:val="008D5803"/>
    <w:rsid w:val="008D6176"/>
    <w:rsid w:val="008D6A35"/>
    <w:rsid w:val="008D7C0D"/>
    <w:rsid w:val="008E14C1"/>
    <w:rsid w:val="008F231E"/>
    <w:rsid w:val="008F6A16"/>
    <w:rsid w:val="0091713B"/>
    <w:rsid w:val="00920723"/>
    <w:rsid w:val="0092112A"/>
    <w:rsid w:val="00921B77"/>
    <w:rsid w:val="00922473"/>
    <w:rsid w:val="0093171D"/>
    <w:rsid w:val="0093722E"/>
    <w:rsid w:val="0094127A"/>
    <w:rsid w:val="00945D34"/>
    <w:rsid w:val="0095265C"/>
    <w:rsid w:val="00953201"/>
    <w:rsid w:val="00953220"/>
    <w:rsid w:val="009641B9"/>
    <w:rsid w:val="0096699E"/>
    <w:rsid w:val="00970383"/>
    <w:rsid w:val="009713D2"/>
    <w:rsid w:val="00971C3E"/>
    <w:rsid w:val="00982BC6"/>
    <w:rsid w:val="009A467A"/>
    <w:rsid w:val="009A574C"/>
    <w:rsid w:val="009B2E51"/>
    <w:rsid w:val="009C1FFC"/>
    <w:rsid w:val="009C3CBC"/>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42F27"/>
    <w:rsid w:val="00A43EB2"/>
    <w:rsid w:val="00A456D2"/>
    <w:rsid w:val="00A50816"/>
    <w:rsid w:val="00A62E5B"/>
    <w:rsid w:val="00A671F8"/>
    <w:rsid w:val="00A73106"/>
    <w:rsid w:val="00A80BCC"/>
    <w:rsid w:val="00A81A92"/>
    <w:rsid w:val="00A836DE"/>
    <w:rsid w:val="00A854AA"/>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F5FFD"/>
    <w:rsid w:val="00AF61B2"/>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7158"/>
    <w:rsid w:val="00B73A7C"/>
    <w:rsid w:val="00B7605B"/>
    <w:rsid w:val="00B83B9C"/>
    <w:rsid w:val="00B90EFF"/>
    <w:rsid w:val="00B91C4A"/>
    <w:rsid w:val="00BA0E71"/>
    <w:rsid w:val="00BA135E"/>
    <w:rsid w:val="00BA2C69"/>
    <w:rsid w:val="00BA4FDB"/>
    <w:rsid w:val="00BC18BF"/>
    <w:rsid w:val="00BD4053"/>
    <w:rsid w:val="00BE4999"/>
    <w:rsid w:val="00BE7DF3"/>
    <w:rsid w:val="00BF24C7"/>
    <w:rsid w:val="00BF3258"/>
    <w:rsid w:val="00C02463"/>
    <w:rsid w:val="00C04B91"/>
    <w:rsid w:val="00C13BBD"/>
    <w:rsid w:val="00C16696"/>
    <w:rsid w:val="00C22828"/>
    <w:rsid w:val="00C235B7"/>
    <w:rsid w:val="00C24125"/>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B4356"/>
    <w:rsid w:val="00CB659E"/>
    <w:rsid w:val="00CC1768"/>
    <w:rsid w:val="00CC282E"/>
    <w:rsid w:val="00CD13E5"/>
    <w:rsid w:val="00CD4A85"/>
    <w:rsid w:val="00CD763F"/>
    <w:rsid w:val="00CE2948"/>
    <w:rsid w:val="00CE4D99"/>
    <w:rsid w:val="00CE4E90"/>
    <w:rsid w:val="00CE745E"/>
    <w:rsid w:val="00CF0A70"/>
    <w:rsid w:val="00CF69E9"/>
    <w:rsid w:val="00D15DA4"/>
    <w:rsid w:val="00D16AA1"/>
    <w:rsid w:val="00D35CDC"/>
    <w:rsid w:val="00D4321B"/>
    <w:rsid w:val="00D46A0D"/>
    <w:rsid w:val="00D57689"/>
    <w:rsid w:val="00D579E4"/>
    <w:rsid w:val="00D631FF"/>
    <w:rsid w:val="00D710CF"/>
    <w:rsid w:val="00D773B9"/>
    <w:rsid w:val="00D81C4E"/>
    <w:rsid w:val="00D948F4"/>
    <w:rsid w:val="00DA198B"/>
    <w:rsid w:val="00DA4C74"/>
    <w:rsid w:val="00DB1425"/>
    <w:rsid w:val="00DB3AA8"/>
    <w:rsid w:val="00DB6316"/>
    <w:rsid w:val="00DC272C"/>
    <w:rsid w:val="00DC38CE"/>
    <w:rsid w:val="00DC7AE0"/>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5FA"/>
    <w:rsid w:val="00E81461"/>
    <w:rsid w:val="00E8180B"/>
    <w:rsid w:val="00E83DDF"/>
    <w:rsid w:val="00E87CB9"/>
    <w:rsid w:val="00E94693"/>
    <w:rsid w:val="00E96C35"/>
    <w:rsid w:val="00EA426F"/>
    <w:rsid w:val="00EB29FF"/>
    <w:rsid w:val="00EC2A45"/>
    <w:rsid w:val="00EC70CF"/>
    <w:rsid w:val="00ED1610"/>
    <w:rsid w:val="00ED3A54"/>
    <w:rsid w:val="00ED5369"/>
    <w:rsid w:val="00ED78B0"/>
    <w:rsid w:val="00EE13A5"/>
    <w:rsid w:val="00EE20A6"/>
    <w:rsid w:val="00EE4088"/>
    <w:rsid w:val="00EE77DB"/>
    <w:rsid w:val="00EF5924"/>
    <w:rsid w:val="00EF76E9"/>
    <w:rsid w:val="00F005ED"/>
    <w:rsid w:val="00F00A0F"/>
    <w:rsid w:val="00F10032"/>
    <w:rsid w:val="00F1585E"/>
    <w:rsid w:val="00F15FF4"/>
    <w:rsid w:val="00F166AF"/>
    <w:rsid w:val="00F20289"/>
    <w:rsid w:val="00F22B06"/>
    <w:rsid w:val="00F235CD"/>
    <w:rsid w:val="00F241D0"/>
    <w:rsid w:val="00F26BF0"/>
    <w:rsid w:val="00F27763"/>
    <w:rsid w:val="00F3287D"/>
    <w:rsid w:val="00F3521A"/>
    <w:rsid w:val="00F37A6B"/>
    <w:rsid w:val="00F43A8F"/>
    <w:rsid w:val="00F45F4E"/>
    <w:rsid w:val="00F5027F"/>
    <w:rsid w:val="00F5209E"/>
    <w:rsid w:val="00F536BD"/>
    <w:rsid w:val="00F57CFB"/>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82A2-7462-4E12-80A8-86AFEBB9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14</cp:revision>
  <cp:lastPrinted>2019-11-04T21:09:00Z</cp:lastPrinted>
  <dcterms:created xsi:type="dcterms:W3CDTF">2019-11-26T23:16:00Z</dcterms:created>
  <dcterms:modified xsi:type="dcterms:W3CDTF">2020-01-08T21:35:00Z</dcterms:modified>
</cp:coreProperties>
</file>